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放射防护用品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14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11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重庆市急救医疗中心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医院常用放射防护用品的常规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配送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能力的供应商参与竞争。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包含但不限于本次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项目，如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加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项目可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自行增加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60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606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品名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60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放射防护用品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铅衣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60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背心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60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围脖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60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帽子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60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三角裤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60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三角巾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60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眼罩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60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手套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60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二、技术要求</w:t>
      </w: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2.1整体材质采用进口材质，超轻、超薄、超柔软；</w:t>
      </w: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2.2防护材质为锑和橡胶粉合成；</w:t>
      </w: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2.3面料材质为内外E-PTFE面料；</w:t>
      </w: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2.4铅当量为正面0.5mmpb，背面0.25mmpb；</w:t>
      </w: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2.5魔术贴采用射出勾；</w:t>
      </w: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2.6拉链、卡扣为进口品牌；</w:t>
      </w: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2.7铅衣半袖为可拆卸活袖设计，下裙添加宽版，松紧腰带；</w:t>
      </w: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2.8可定制款式，尺码，花色。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三、供应商资质要求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4有依法缴纳税收和社会保障资金的良好记录；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5参加政府采购活动近三年内，在经营活动中没有重大违法记录。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四、商务要求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4.1有效使用期：≥4年；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有效期内免费对魔术贴、拉链、卡扣进行更换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； 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有效期内免费专业清洗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4.4付款方式：经采购人验收合格后，采购人支付全部货款。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4.5提供所投产品在重庆的用户名单、联系人及联系电话。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五、供应商须知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5.1不得干扰采购人的评审活动，否则将废除其投标。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5.2若未成交，本院无义务对各供应商做解释工作。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5.3应保证所有资料的真实性。如提供不真实的材料，无论其材料是否重要，供应商需承担相应的后果及法律责任。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5.4理解并同意：最低报价非中标的唯一条件。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（一）内容要求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1.5在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6.1.6供应商《医疗器械生产企业许可证》或《医疗器械经营企业许可证》（复印件加盖鲜章）；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6.1.7提供所投产品销售业绩的相关证明材料，如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产品介绍、彩页资料等材料。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格式要求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报价一份（报价需密封）。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、纸质报价及产品样本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交至招标办，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老师 63692226。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时间及地点：另行通知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3A11DFB"/>
    <w:rsid w:val="08384706"/>
    <w:rsid w:val="0A1D68B3"/>
    <w:rsid w:val="0B0B2B8C"/>
    <w:rsid w:val="0E2F06B6"/>
    <w:rsid w:val="101E7372"/>
    <w:rsid w:val="120D6F1B"/>
    <w:rsid w:val="13E54695"/>
    <w:rsid w:val="153B0D9E"/>
    <w:rsid w:val="1D29167B"/>
    <w:rsid w:val="1E08551C"/>
    <w:rsid w:val="1F591F5B"/>
    <w:rsid w:val="294E3997"/>
    <w:rsid w:val="2BAD3246"/>
    <w:rsid w:val="417B242E"/>
    <w:rsid w:val="486E3659"/>
    <w:rsid w:val="4B6E42A4"/>
    <w:rsid w:val="59B352EC"/>
    <w:rsid w:val="5C6414EF"/>
    <w:rsid w:val="62237FA1"/>
    <w:rsid w:val="65DB7408"/>
    <w:rsid w:val="6ABE6BC3"/>
    <w:rsid w:val="6FF618A8"/>
    <w:rsid w:val="71022B9E"/>
    <w:rsid w:val="714D0081"/>
    <w:rsid w:val="72062190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unhideWhenUsed/>
    <w:uiPriority w:val="99"/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2022-10-11T10:26:35Z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