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医用清洗剂常规采购需求文件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医用清洗剂常规采购项目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bookmarkStart w:id="66" w:name="_GoBack"/>
      <w:bookmarkEnd w:id="66"/>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内容</w:t>
      </w:r>
      <w:bookmarkEnd w:id="1"/>
      <w:bookmarkEnd w:id="2"/>
    </w:p>
    <w:tbl>
      <w:tblPr>
        <w:tblStyle w:val="13"/>
        <w:tblW w:w="9255"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64"/>
        <w:gridCol w:w="432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vertAlign w:val="baseline"/>
                <w:lang w:val="en-US" w:eastAsia="zh-CN"/>
              </w:rPr>
              <w:t>序号</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产品名称</w:t>
            </w:r>
          </w:p>
        </w:tc>
        <w:tc>
          <w:tcPr>
            <w:tcW w:w="4328"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主要用途</w:t>
            </w:r>
          </w:p>
        </w:tc>
        <w:tc>
          <w:tcPr>
            <w:tcW w:w="1623"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中性多酶清洗剂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快速分解蛋白质</w:t>
            </w:r>
          </w:p>
        </w:tc>
        <w:tc>
          <w:tcPr>
            <w:tcW w:w="1623" w:type="dxa"/>
            <w:vMerge w:val="restart"/>
            <w:vAlign w:val="center"/>
          </w:tcPr>
          <w:p>
            <w:pPr>
              <w:keepNext/>
              <w:keepLines/>
              <w:spacing w:line="480" w:lineRule="exact"/>
              <w:jc w:val="both"/>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lang w:val="en-US" w:eastAsia="zh-CN"/>
              </w:rPr>
              <w:t>产品的</w:t>
            </w:r>
            <w:r>
              <w:rPr>
                <w:rFonts w:hint="eastAsia" w:ascii="方正仿宋_GBK" w:hAnsi="方正仿宋_GBK" w:eastAsia="方正仿宋_GBK" w:cs="方正仿宋_GBK"/>
                <w:color w:val="000000"/>
                <w:sz w:val="24"/>
                <w:szCs w:val="24"/>
                <w:vertAlign w:val="baseline"/>
              </w:rPr>
              <w:t>有效期至少为2年</w:t>
            </w:r>
            <w:r>
              <w:rPr>
                <w:rFonts w:hint="eastAsia" w:ascii="方正仿宋_GBK" w:hAnsi="方正仿宋_GBK" w:eastAsia="方正仿宋_GBK" w:cs="方正仿宋_GBK"/>
                <w:color w:val="00000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碱性多酶清洗剂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适用于各类器械的预浸泡、手工清洗、超声清洗及全自动清洗机清洗。</w:t>
            </w:r>
          </w:p>
        </w:tc>
        <w:tc>
          <w:tcPr>
            <w:tcW w:w="1623" w:type="dxa"/>
            <w:vMerge w:val="continue"/>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内镜专用多酶清洗剂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主要用于腹腔镜管腔类器械清洗，有效去管腔内生物膜。</w:t>
            </w:r>
          </w:p>
        </w:tc>
        <w:tc>
          <w:tcPr>
            <w:tcW w:w="1623" w:type="dxa"/>
            <w:vMerge w:val="continue"/>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碱性清洗剂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对有机酸有较好去除作用</w:t>
            </w:r>
          </w:p>
        </w:tc>
        <w:tc>
          <w:tcPr>
            <w:tcW w:w="1623" w:type="dxa"/>
            <w:vMerge w:val="continue"/>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黄斑清洗剂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专用于去除弯盘、换药碗等不锈钢医疗器械表面的黄褐色斑纹。</w:t>
            </w:r>
          </w:p>
        </w:tc>
        <w:tc>
          <w:tcPr>
            <w:tcW w:w="1623" w:type="dxa"/>
            <w:vMerge w:val="continue"/>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2464" w:type="dxa"/>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医用除胶剂</w:t>
            </w:r>
          </w:p>
        </w:tc>
        <w:tc>
          <w:tcPr>
            <w:tcW w:w="4328" w:type="dxa"/>
            <w:vAlign w:val="center"/>
          </w:tcPr>
          <w:p>
            <w:pPr>
              <w:keepNext/>
              <w:keepLines/>
              <w:spacing w:line="480" w:lineRule="exact"/>
              <w:jc w:val="left"/>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主要用于敷料罐灭菌指示胶带胶印去除</w:t>
            </w:r>
          </w:p>
        </w:tc>
        <w:tc>
          <w:tcPr>
            <w:tcW w:w="1623" w:type="dxa"/>
            <w:vMerge w:val="continue"/>
            <w:vAlign w:val="center"/>
          </w:tcPr>
          <w:p>
            <w:pPr>
              <w:keepNext/>
              <w:keepLines/>
              <w:spacing w:line="480" w:lineRule="exact"/>
              <w:jc w:val="center"/>
              <w:rPr>
                <w:rFonts w:hint="eastAsia" w:ascii="方正仿宋_GBK" w:hAnsi="方正仿宋_GBK" w:eastAsia="方正仿宋_GBK" w:cs="方正仿宋_GBK"/>
                <w:color w:val="000000"/>
                <w:sz w:val="24"/>
                <w:szCs w:val="24"/>
                <w:vertAlign w:val="baseline"/>
              </w:rPr>
            </w:pPr>
          </w:p>
        </w:tc>
      </w:tr>
    </w:tbl>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二、产品技术参数</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vertAlign w:val="baseline"/>
        </w:rPr>
        <w:t>中性多酶清洗剂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1.产品组成：蛋白酶、脂肪酶、淀粉酶、纤维素酶、表面活性剂、缓蚀剂等，含4种生物酶；</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2.低泡，易漂洗适用于各类器械的预浸泡、手工清洗、超声清洗以及全自动清洗机清洗；</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3.稀释比例：手洗应≥1:200，机洗应≥1:300； </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4.液体澄清透明，无肉眼可见的沉淀或悬浮颗粒；</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5.产品符合«T/WSJD002-2019 医用清洗剂卫生要求»中清洗效果的要求（提供CMA认证等检测报告）</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5.1对菌血悬液中细菌的去除率大于99%；且ATP的下降率大于99%，符合去除要求；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5.2对人工模拟污染物的去除率大于95.00%，符合去除要求；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5.3对模拟污染物中蛋白质的去除率大于90.00%；对模拟污染物中淀粉的去除率大60%；对模拟污染物中脂肪的去除率大于50%，符合去除要求。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6.对不锈钢、铜、铝、碳钢等各种器械材质的腐蚀级别均为基本无腐蚀或轻度腐蚀；</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 表面活性剂的降解度&gt;95%，符合环保的要求，并提供CMA认证等检测报告；</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8.对人体组织有良好的相容性，对人体无毒、无刺激；</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 pH值6.5-7.5。</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vertAlign w:val="baseline"/>
        </w:rPr>
        <w:t>碱性多酶清洗剂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1.产品组成：无机碱、蛋白酶、脂肪酶、表面活性剂、缓蚀剂、螯合剂等</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2.PH值弱碱性，低泡，易漂洗适用于各类器械的预浸泡、手工清洗、超声清洗以及全自动清洗机清洗</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3.稀释比例：手洗应≥1:200，机洗应≥1:300</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 xml:space="preserve"> </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4.液体澄清透明，无肉眼可见的沉淀或悬浮颗粒</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5.产品符合«T/WSJD002-2019 医用清洗剂卫生要求»中清洗效果的要求（提供CMA认证等检测报告）</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5.1</w:t>
      </w:r>
      <w:r>
        <w:rPr>
          <w:rFonts w:hint="eastAsia" w:ascii="方正仿宋_GBK" w:hAnsi="方正仿宋_GBK" w:eastAsia="方正仿宋_GBK" w:cs="方正仿宋_GBK"/>
          <w:color w:val="000000"/>
          <w:sz w:val="24"/>
          <w:szCs w:val="24"/>
        </w:rPr>
        <w:t>对菌血悬液中细菌的去除率大于99%；且ATP的下降率大于99%，符合去除要求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5.2</w:t>
      </w:r>
      <w:r>
        <w:rPr>
          <w:rFonts w:hint="eastAsia" w:ascii="方正仿宋_GBK" w:hAnsi="方正仿宋_GBK" w:eastAsia="方正仿宋_GBK" w:cs="方正仿宋_GBK"/>
          <w:color w:val="000000"/>
          <w:sz w:val="24"/>
          <w:szCs w:val="24"/>
        </w:rPr>
        <w:t>对人工模拟污染物的去除率大于95.00%，符合去除要求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5.3</w:t>
      </w:r>
      <w:r>
        <w:rPr>
          <w:rFonts w:hint="eastAsia" w:ascii="方正仿宋_GBK" w:hAnsi="方正仿宋_GBK" w:eastAsia="方正仿宋_GBK" w:cs="方正仿宋_GBK"/>
          <w:color w:val="000000"/>
          <w:sz w:val="24"/>
          <w:szCs w:val="24"/>
        </w:rPr>
        <w:t>对模拟污染物中蛋白质的去除率大于90.00%；对模拟污染物中淀粉的去除率大60%；对模拟污染物中脂肪的去除率大于50%，符合去除要求。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6.对不锈钢、碳钢的腐蚀级别均为基本无腐蚀，对铜和铝有轻度腐蚀，符合«T/WSJD002-2019 医用清洗剂卫生要求»中对金属安全性的要求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8.表面活性剂的降解度&gt;95%，符合环保的要求，可提供CMA认证等检测报告</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9.pH值＞7.5。</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vertAlign w:val="baseline"/>
        </w:rPr>
        <w:t>内镜专用多酶清洗剂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1.产品配方含蛋白酶、脂肪酶、淀粉酶、纤维素酶、果胶酶、非离子表面活性剂、缓蚀剂、螯合剂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2.主要用于软式、硬式内窥镜及外科器械的清洗，有效抑制和去除生物膜；</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3.应适用于手洗、超声波清洗和全自动清洗机清洗</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4.使用比例：机洗应≥1:200，手洗应≥1:100</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5.产品获有国家认可的第三方检测机构出具的检测报告，有符合《医用清洁剂卫生要求》的证明文件；对生物膜的去除率&gt;90%，符合强效生物膜去除型清洗剂对生物膜去除率的要求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6.产品符合«T/WSJD002-2019 医用清洗剂卫生要求»中清洗效果的要求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6.1</w:t>
      </w:r>
      <w:r>
        <w:rPr>
          <w:rFonts w:hint="eastAsia" w:ascii="方正仿宋_GBK" w:hAnsi="方正仿宋_GBK" w:eastAsia="方正仿宋_GBK" w:cs="方正仿宋_GBK"/>
          <w:color w:val="000000"/>
          <w:sz w:val="24"/>
          <w:szCs w:val="24"/>
        </w:rPr>
        <w:t>对菌血悬液中细菌的去除率大于99.00%；且ATP的下降率为大于99.00%，符合去除要求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6.2</w:t>
      </w:r>
      <w:r>
        <w:rPr>
          <w:rFonts w:hint="eastAsia" w:ascii="方正仿宋_GBK" w:hAnsi="方正仿宋_GBK" w:eastAsia="方正仿宋_GBK" w:cs="方正仿宋_GBK"/>
          <w:color w:val="000000"/>
          <w:sz w:val="24"/>
          <w:szCs w:val="24"/>
        </w:rPr>
        <w:t>对人工模拟污染物的去除率为大于95.00%，符合去除要求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6.3</w:t>
      </w:r>
      <w:r>
        <w:rPr>
          <w:rFonts w:hint="eastAsia" w:ascii="方正仿宋_GBK" w:hAnsi="方正仿宋_GBK" w:eastAsia="方正仿宋_GBK" w:cs="方正仿宋_GBK"/>
          <w:color w:val="000000"/>
          <w:sz w:val="24"/>
          <w:szCs w:val="24"/>
        </w:rPr>
        <w:t>对模拟污染物中蛋白质的去除率大于90.00%；对模拟污染物中淀粉的去除率大于60.00%；对模拟污染物中脂肪的去除率大于50.00%，符合去除要求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lang w:val="en-US" w:eastAsia="zh-CN"/>
        </w:rPr>
        <w:t xml:space="preserve">   </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6.4对模拟生物膜管腔上细菌的去除率&gt;90.00%,ATP下降率&gt;90.00%,符合T/WSJD 002-2019《医用清洗剂卫生要求》生物膜去除效果合格的规定。</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7.对不锈钢、铜的腐蚀级别均为基本无腐蚀，对铝有轻度腐蚀，符合«T/WSJD002-2019 医用清洗剂卫生要求»中对金属安全性的要求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8.表面活性剂的降解度&gt;95%，符合环保的要求，并提供CMA认证等检测报告</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9.对人体组织有良好的相容性，对人体无毒、无刺激。</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vertAlign w:val="baseline"/>
        </w:rPr>
        <w:t>碱性清洗剂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1.产品配方含无机碱、表面活性剂、缓蚀剂、螯合剂等；</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2.低泡，易漂洗，对器械无损伤；</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3.主要用于不锈钢器械、物品的手工/喷淋/超声波清洗；</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4.使用比例：手洗应≥1:100，机洗应≥1:200；</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5.符合《WS 310.1—2016 医院消毒供应中心管理规范》对清洗耗材的要求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6.pH值＞7.5。</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vertAlign w:val="baseline"/>
        </w:rPr>
        <w:t>黄斑清洗剂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1.产品由有机酸、无机酸、螯合剂、缓蚀剂、表面活性剂、水等组成；</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2.强渗透性，去除黄斑速度≤30min，常温浸泡无需加热。</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3.专用于去除弯盘、换药碗等不锈钢医疗器械表面的黄褐色斑纹；</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4.符合《WS 310.1—2016 医院消毒供应中心管理规范》对清洗耗材的要求</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vertAlign w:val="baseline"/>
        </w:rPr>
        <w:t>医用除胶剂</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 有效去除各类残胶；</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 操作简单，除胶快速高效；</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对处理物体表面无腐蚀；</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 原料均为医用级别，无毒无刺激;</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5.用于去除医用胶带、标签等在物体表面留下的残胶</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965"/>
      <w:bookmarkStart w:id="9" w:name="_Toc17509"/>
      <w:bookmarkStart w:id="10" w:name="_Toc21930"/>
      <w:bookmarkStart w:id="11" w:name="_Toc3976"/>
      <w:bookmarkStart w:id="12" w:name="_Toc9401"/>
      <w:bookmarkStart w:id="13" w:name="_Toc26564"/>
      <w:bookmarkStart w:id="14" w:name="_Toc22548773"/>
      <w:bookmarkStart w:id="15" w:name="_Toc11412"/>
      <w:bookmarkStart w:id="16" w:name="_Toc3374"/>
      <w:bookmarkStart w:id="17" w:name="_Toc6178"/>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五、服务要求</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（四）产品的有效期至少为2年。</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下载本项目采购要求等谈判前公布的所有项目资料，无论供应商下载与否，均视为已知晓所有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日17点</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31639"/>
      <w:bookmarkStart w:id="20" w:name="_Toc13490"/>
      <w:bookmarkStart w:id="21" w:name="_Toc517368027"/>
      <w:bookmarkStart w:id="22" w:name="_Toc22978"/>
      <w:bookmarkStart w:id="23" w:name="_Toc517367960"/>
      <w:bookmarkStart w:id="24" w:name="_Toc6933"/>
      <w:bookmarkStart w:id="25" w:name="_Toc8132"/>
      <w:bookmarkStart w:id="26" w:name="_Toc21862"/>
      <w:bookmarkStart w:id="27" w:name="_Toc3181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（二）</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w:t>
      </w:r>
      <w:r>
        <w:rPr>
          <w:rFonts w:hint="eastAsia" w:ascii="方正仿宋_GBK" w:hAnsi="方正仿宋_GBK" w:eastAsia="方正仿宋_GBK" w:cs="方正仿宋_GBK"/>
          <w:color w:val="auto"/>
          <w:sz w:val="24"/>
          <w:szCs w:val="24"/>
          <w:lang w:eastAsia="zh-CN"/>
        </w:rPr>
        <w:t>一份</w:t>
      </w:r>
      <w:r>
        <w:rPr>
          <w:rFonts w:hint="eastAsia" w:ascii="方正仿宋_GBK" w:hAnsi="方正仿宋_GBK" w:eastAsia="方正仿宋_GBK" w:cs="方正仿宋_GBK"/>
          <w:color w:val="000000"/>
          <w:sz w:val="24"/>
          <w:szCs w:val="24"/>
          <w:lang w:eastAsia="zh-CN"/>
        </w:rPr>
        <w:t>（纸质报价需密封）。</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2.实际配送的货物必须与比选时提供的样品一致，不能以次充好或提供假冒伪劣产品，否则本单位有权单方中止其供货并追究相关法律责任。</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15317"/>
      <w:bookmarkStart w:id="31" w:name="_Toc517368028"/>
      <w:bookmarkStart w:id="32" w:name="_Toc517367961"/>
      <w:bookmarkStart w:id="33" w:name="_Toc2188"/>
      <w:bookmarkStart w:id="34" w:name="_Toc24060"/>
      <w:bookmarkStart w:id="35" w:name="_Toc527828388"/>
      <w:bookmarkStart w:id="36" w:name="_Toc24167"/>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pPr>
      <w:r>
        <w:rPr>
          <w:rFonts w:hint="eastAsia" w:ascii="方正仿宋_GBK" w:hAnsi="方正仿宋_GBK" w:eastAsia="方正仿宋_GBK" w:cs="方正仿宋_GBK"/>
          <w:color w:val="000000"/>
          <w:sz w:val="24"/>
          <w:szCs w:val="24"/>
        </w:rPr>
        <w:br w:type="page"/>
      </w: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jc w:val="center"/>
        <w:rPr>
          <w:rFonts w:hint="eastAsia" w:ascii="方正仿宋_GBK" w:hAnsi="方正仿宋_GBK" w:eastAsia="方正仿宋_GBK" w:cs="方正仿宋_GBK"/>
          <w:b/>
          <w:bCs/>
          <w:sz w:val="28"/>
          <w:szCs w:val="32"/>
          <w:lang w:val="en-US" w:eastAsia="zh-CN"/>
        </w:rPr>
      </w:pPr>
    </w:p>
    <w:p>
      <w:pPr>
        <w:pStyle w:val="6"/>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sz w:val="24"/>
          <w:szCs w:val="24"/>
        </w:rPr>
        <w:t>（二）其它优惠服务承诺（格式自定）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四</w:t>
      </w:r>
      <w:r>
        <w:rPr>
          <w:rFonts w:hint="eastAsia" w:ascii="方正仿宋_GBK" w:hAnsi="宋体" w:eastAsia="方正仿宋_GBK"/>
          <w:b/>
          <w:sz w:val="24"/>
          <w:szCs w:val="24"/>
        </w:rPr>
        <w:t>、资格条件及其他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五</w:t>
      </w:r>
      <w:r>
        <w:rPr>
          <w:rFonts w:hint="eastAsia" w:ascii="方正仿宋_GBK" w:hAnsi="宋体" w:eastAsia="方正仿宋_GBK"/>
          <w:b/>
          <w:sz w:val="24"/>
          <w:szCs w:val="24"/>
        </w:rPr>
        <w:t>、其他资料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p>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p>
            <w:pPr>
              <w:jc w:val="center"/>
              <w:rPr>
                <w:rFonts w:hint="eastAsia"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48" w:type="dxa"/>
            <w:vAlign w:val="center"/>
          </w:tcPr>
          <w:p>
            <w:pPr>
              <w:jc w:val="center"/>
              <w:rPr>
                <w:rFonts w:hint="eastAsia" w:ascii="方正仿宋_GBK" w:hAnsi="宋体" w:eastAsia="方正仿宋_GBK"/>
                <w:sz w:val="24"/>
                <w:szCs w:val="28"/>
              </w:rPr>
            </w:pPr>
          </w:p>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bl>
    <w:p>
      <w:pPr>
        <w:snapToGrid w:val="0"/>
        <w:spacing w:line="500" w:lineRule="exact"/>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2"/>
      <w:bookmarkStart w:id="40" w:name="OLE_LINK1"/>
      <w:r>
        <w:rPr>
          <w:rFonts w:hint="eastAsia" w:ascii="方正仿宋_GBK" w:hAnsi="宋体" w:eastAsia="方正仿宋_GBK"/>
          <w:sz w:val="24"/>
          <w:szCs w:val="28"/>
        </w:rPr>
        <w:t>。</w:t>
      </w:r>
      <w:bookmarkEnd w:id="39"/>
      <w:bookmarkEnd w:id="40"/>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br w:type="page"/>
      </w: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41" w:name="_Toc313888361"/>
      <w:bookmarkStart w:id="42" w:name="_Toc14073"/>
      <w:bookmarkStart w:id="43" w:name="_Toc342913420"/>
      <w:bookmarkStart w:id="44" w:name="_Toc65660380"/>
      <w:bookmarkStart w:id="45" w:name="_Toc313008357"/>
      <w:bookmarkStart w:id="46" w:name="_Toc22655"/>
      <w:bookmarkStart w:id="47" w:name="_Toc106034660"/>
      <w:r>
        <w:rPr>
          <w:rFonts w:hint="eastAsia" w:ascii="方正仿宋_GBK" w:hAnsi="宋体" w:eastAsia="方正仿宋_GBK"/>
          <w:sz w:val="24"/>
        </w:rPr>
        <w:t>二、技术部分</w:t>
      </w:r>
      <w:bookmarkEnd w:id="41"/>
      <w:bookmarkEnd w:id="42"/>
      <w:bookmarkEnd w:id="43"/>
      <w:bookmarkEnd w:id="44"/>
      <w:bookmarkEnd w:id="45"/>
      <w:bookmarkEnd w:id="46"/>
      <w:bookmarkEnd w:id="47"/>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四、技术参数”</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2.该表必须按照比选文件要求逐条如实填写，根据比选情况在“差异说明”项填写正偏离或负偏离及原因，完全符合的填写“无差异”；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48" w:name="_Toc32339"/>
      <w:bookmarkStart w:id="49" w:name="_Toc65660381"/>
      <w:bookmarkStart w:id="50" w:name="_Toc106034661"/>
      <w:bookmarkStart w:id="51" w:name="_Toc32158"/>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48"/>
      <w:bookmarkEnd w:id="49"/>
      <w:bookmarkEnd w:id="50"/>
      <w:bookmarkEnd w:id="51"/>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五、服务要求”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2.该表必须按照比选文件要求逐条如实填写，根据比选情况在“差异说明”项填写正偏离或负偏离及原因，完全符合的填写“无差异”，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pPr>
        <w:pStyle w:val="2"/>
        <w:rPr>
          <w:rFonts w:hint="eastAsia"/>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pPr>
        <w:pStyle w:val="2"/>
        <w:rPr>
          <w:rFonts w:hint="eastAsia"/>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52" w:name="_Toc313888362"/>
      <w:bookmarkStart w:id="53" w:name="_Toc342913421"/>
      <w:bookmarkStart w:id="54" w:name="_Toc313008358"/>
      <w:bookmarkStart w:id="55" w:name="_Toc65660382"/>
      <w:bookmarkStart w:id="56" w:name="_Toc20162"/>
      <w:bookmarkStart w:id="57" w:name="_Toc106034662"/>
      <w:bookmarkStart w:id="58" w:name="_Toc2082"/>
      <w:r>
        <w:rPr>
          <w:rFonts w:hint="eastAsia" w:ascii="方正仿宋_GBK" w:hAnsi="宋体" w:eastAsia="方正仿宋_GBK"/>
          <w:sz w:val="24"/>
          <w:lang w:val="en-US" w:eastAsia="zh-CN"/>
        </w:rPr>
        <w:t>四</w:t>
      </w:r>
      <w:r>
        <w:rPr>
          <w:rFonts w:hint="eastAsia" w:ascii="方正仿宋_GBK" w:hAnsi="宋体" w:eastAsia="方正仿宋_GBK"/>
          <w:sz w:val="24"/>
        </w:rPr>
        <w:t>、</w:t>
      </w:r>
      <w:bookmarkEnd w:id="52"/>
      <w:bookmarkEnd w:id="53"/>
      <w:bookmarkEnd w:id="54"/>
      <w:r>
        <w:rPr>
          <w:rFonts w:hint="eastAsia" w:ascii="方正仿宋_GBK" w:hAnsi="宋体" w:eastAsia="方正仿宋_GBK"/>
          <w:sz w:val="24"/>
        </w:rPr>
        <w:t>资格条件及其他</w:t>
      </w:r>
      <w:bookmarkEnd w:id="55"/>
      <w:bookmarkEnd w:id="56"/>
      <w:bookmarkEnd w:id="57"/>
      <w:bookmarkEnd w:id="58"/>
      <w:bookmarkStart w:id="59" w:name="_Toc313008359"/>
      <w:bookmarkStart w:id="60" w:name="_Toc342913422"/>
      <w:bookmarkStart w:id="61"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比选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3"/>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2" w:name="_Toc106034663"/>
      <w:bookmarkStart w:id="63" w:name="_Toc17010"/>
      <w:bookmarkStart w:id="64" w:name="_Toc2080"/>
      <w:bookmarkStart w:id="65" w:name="_Toc65660383"/>
      <w:r>
        <w:rPr>
          <w:rFonts w:hint="eastAsia" w:ascii="方正仿宋_GBK" w:hAnsi="宋体" w:eastAsia="方正仿宋_GBK"/>
          <w:sz w:val="24"/>
          <w:szCs w:val="24"/>
          <w:lang w:val="en-US" w:eastAsia="zh-CN"/>
        </w:rPr>
        <w:t>五</w:t>
      </w:r>
      <w:r>
        <w:rPr>
          <w:rFonts w:hint="eastAsia" w:ascii="方正仿宋_GBK" w:hAnsi="宋体" w:eastAsia="方正仿宋_GBK"/>
          <w:sz w:val="24"/>
        </w:rPr>
        <w:t>、</w:t>
      </w:r>
      <w:bookmarkEnd w:id="59"/>
      <w:bookmarkEnd w:id="60"/>
      <w:bookmarkEnd w:id="61"/>
      <w:r>
        <w:rPr>
          <w:rFonts w:hint="eastAsia" w:ascii="方正仿宋_GBK" w:hAnsi="宋体" w:eastAsia="方正仿宋_GBK"/>
          <w:sz w:val="24"/>
        </w:rPr>
        <w:t>其他资料</w:t>
      </w:r>
      <w:bookmarkEnd w:id="62"/>
      <w:bookmarkEnd w:id="63"/>
      <w:bookmarkEnd w:id="64"/>
      <w:bookmarkEnd w:id="65"/>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8"/>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5A69FCF-E61E-413D-A91E-A58EE025AC0D}"/>
  </w:font>
  <w:font w:name="仿宋">
    <w:panose1 w:val="02010609060101010101"/>
    <w:charset w:val="86"/>
    <w:family w:val="modern"/>
    <w:pitch w:val="default"/>
    <w:sig w:usb0="800002BF" w:usb1="38CF7CFA" w:usb2="00000016" w:usb3="00000000" w:csb0="00040001" w:csb1="00000000"/>
    <w:embedRegular r:id="rId2" w:fontKey="{8D2C1913-44AB-4456-9F23-7679ECC49804}"/>
  </w:font>
  <w:font w:name="Arial">
    <w:panose1 w:val="020B0604020202020204"/>
    <w:charset w:val="00"/>
    <w:family w:val="auto"/>
    <w:pitch w:val="default"/>
    <w:sig w:usb0="E0002EFF" w:usb1="C000785B" w:usb2="00000009" w:usb3="00000000" w:csb0="400001FF" w:csb1="FFFF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545C32"/>
    <w:rsid w:val="0FC01DDD"/>
    <w:rsid w:val="10DC01C8"/>
    <w:rsid w:val="116503A8"/>
    <w:rsid w:val="12FB1E07"/>
    <w:rsid w:val="133F76F0"/>
    <w:rsid w:val="13704662"/>
    <w:rsid w:val="13814630"/>
    <w:rsid w:val="13DF3FC3"/>
    <w:rsid w:val="14A409DB"/>
    <w:rsid w:val="15625621"/>
    <w:rsid w:val="15F441A8"/>
    <w:rsid w:val="16A60816"/>
    <w:rsid w:val="17F26FAE"/>
    <w:rsid w:val="18687FAE"/>
    <w:rsid w:val="19804882"/>
    <w:rsid w:val="1AC856F5"/>
    <w:rsid w:val="1BD877D9"/>
    <w:rsid w:val="1D54216D"/>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CAC7C8F"/>
    <w:rsid w:val="2CFD1F96"/>
    <w:rsid w:val="2D7524E6"/>
    <w:rsid w:val="2D783FB8"/>
    <w:rsid w:val="2E8928E3"/>
    <w:rsid w:val="305C705B"/>
    <w:rsid w:val="30BD408D"/>
    <w:rsid w:val="327114A6"/>
    <w:rsid w:val="34DF325D"/>
    <w:rsid w:val="356E302D"/>
    <w:rsid w:val="36825B67"/>
    <w:rsid w:val="39842583"/>
    <w:rsid w:val="3A07396B"/>
    <w:rsid w:val="3A183D49"/>
    <w:rsid w:val="3A3D3178"/>
    <w:rsid w:val="3A757783"/>
    <w:rsid w:val="3B82689F"/>
    <w:rsid w:val="3D0B21A9"/>
    <w:rsid w:val="3E752DC9"/>
    <w:rsid w:val="41A53F56"/>
    <w:rsid w:val="42134A4C"/>
    <w:rsid w:val="443474E0"/>
    <w:rsid w:val="44A168CC"/>
    <w:rsid w:val="44A8542F"/>
    <w:rsid w:val="4684760A"/>
    <w:rsid w:val="472E3198"/>
    <w:rsid w:val="49664A06"/>
    <w:rsid w:val="4B046ED0"/>
    <w:rsid w:val="4B9D04D7"/>
    <w:rsid w:val="4BA43FBA"/>
    <w:rsid w:val="4C29250E"/>
    <w:rsid w:val="4C582C53"/>
    <w:rsid w:val="4CD82061"/>
    <w:rsid w:val="4D433F84"/>
    <w:rsid w:val="4E7A2542"/>
    <w:rsid w:val="509D5C5F"/>
    <w:rsid w:val="50AA111F"/>
    <w:rsid w:val="51E01C21"/>
    <w:rsid w:val="52F56DBE"/>
    <w:rsid w:val="53400388"/>
    <w:rsid w:val="56210721"/>
    <w:rsid w:val="56B008F2"/>
    <w:rsid w:val="56E919B9"/>
    <w:rsid w:val="57CB0088"/>
    <w:rsid w:val="596468E9"/>
    <w:rsid w:val="59ED6194"/>
    <w:rsid w:val="5B395A82"/>
    <w:rsid w:val="5D24510E"/>
    <w:rsid w:val="5EC809F4"/>
    <w:rsid w:val="5F1818BF"/>
    <w:rsid w:val="5F6A3B63"/>
    <w:rsid w:val="603F4A02"/>
    <w:rsid w:val="61AB3DF6"/>
    <w:rsid w:val="62AC472E"/>
    <w:rsid w:val="64434207"/>
    <w:rsid w:val="644A5BFB"/>
    <w:rsid w:val="646E458C"/>
    <w:rsid w:val="64713D93"/>
    <w:rsid w:val="64C85426"/>
    <w:rsid w:val="64CF0321"/>
    <w:rsid w:val="660364FC"/>
    <w:rsid w:val="669453A6"/>
    <w:rsid w:val="66D04197"/>
    <w:rsid w:val="672804FC"/>
    <w:rsid w:val="67991669"/>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F7130D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5">
    <w:name w:val="annotation text"/>
    <w:basedOn w:val="1"/>
    <w:unhideWhenUsed/>
    <w:qFormat/>
    <w:uiPriority w:val="99"/>
    <w:pPr>
      <w:jc w:val="left"/>
    </w:pPr>
  </w:style>
  <w:style w:type="paragraph" w:styleId="6">
    <w:name w:val="Body Text"/>
    <w:basedOn w:val="1"/>
    <w:unhideWhenUsed/>
    <w:qFormat/>
    <w:uiPriority w:val="99"/>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Char"/>
    <w:basedOn w:val="11"/>
    <w:link w:val="10"/>
    <w:qFormat/>
    <w:uiPriority w:val="99"/>
    <w:rPr>
      <w:sz w:val="18"/>
      <w:szCs w:val="18"/>
    </w:rPr>
  </w:style>
  <w:style w:type="character" w:customStyle="1" w:styleId="15">
    <w:name w:val="页脚 Char"/>
    <w:basedOn w:val="11"/>
    <w:link w:val="9"/>
    <w:qFormat/>
    <w:uiPriority w:val="99"/>
    <w:rPr>
      <w:sz w:val="18"/>
      <w:szCs w:val="18"/>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2024-04-20T02:16:17Z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