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心脏外科类医用耗材常规采购需求文件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重庆市第四人民医院本着公平、公正、公开、诚信的原则，拟对医院</w:t>
      </w:r>
      <w:r>
        <w:rPr>
          <w:rFonts w:hint="eastAsia" w:ascii="方正仿宋_GBK" w:hAnsi="方正仿宋_GBK" w:eastAsia="方正仿宋_GBK" w:cs="方正仿宋_GBK"/>
          <w:color w:val="000000"/>
          <w:sz w:val="24"/>
          <w:szCs w:val="24"/>
          <w:lang w:val="en-US" w:eastAsia="zh-CN"/>
        </w:rPr>
        <w:t>心脏外科类医用耗材常规采购项目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bookmarkEnd w:id="0"/>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5295"/>
      <w:bookmarkStart w:id="2" w:name="_Toc16790"/>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3"/>
        <w:tblW w:w="91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332"/>
        <w:gridCol w:w="3035"/>
        <w:gridCol w:w="1730"/>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570" w:type="dxa"/>
            <w:vMerge w:val="restart"/>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eastAsia="zh-CN"/>
              </w:rPr>
            </w:pPr>
            <w:bookmarkStart w:id="53" w:name="_GoBack"/>
            <w:r>
              <w:rPr>
                <w:rFonts w:hint="eastAsia" w:ascii="方正仿宋_GBK" w:hAnsi="方正仿宋_GBK" w:eastAsia="方正仿宋_GBK" w:cs="方正仿宋_GBK"/>
                <w:color w:val="000000"/>
                <w:sz w:val="24"/>
                <w:szCs w:val="24"/>
                <w:lang w:val="en-US" w:eastAsia="zh-CN"/>
              </w:rPr>
              <w:t>包号</w:t>
            </w:r>
          </w:p>
        </w:tc>
        <w:tc>
          <w:tcPr>
            <w:tcW w:w="4367" w:type="dxa"/>
            <w:gridSpan w:val="2"/>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医用耗材分类</w:t>
            </w:r>
          </w:p>
        </w:tc>
        <w:tc>
          <w:tcPr>
            <w:tcW w:w="1730" w:type="dxa"/>
            <w:vMerge w:val="restart"/>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2516" w:type="dxa"/>
            <w:vMerge w:val="restart"/>
            <w:tcBorders>
              <w:top w:val="single" w:color="auto" w:sz="4" w:space="0"/>
              <w:left w:val="single" w:color="auto" w:sz="4" w:space="0"/>
              <w:right w:val="single" w:color="auto" w:sz="4"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570"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val="en-US" w:eastAsia="zh-CN"/>
              </w:rPr>
            </w:pPr>
          </w:p>
        </w:tc>
        <w:tc>
          <w:tcPr>
            <w:tcW w:w="1332"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一级分类</w:t>
            </w:r>
          </w:p>
        </w:tc>
        <w:tc>
          <w:tcPr>
            <w:tcW w:w="3035"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二级分类</w:t>
            </w:r>
          </w:p>
        </w:tc>
        <w:tc>
          <w:tcPr>
            <w:tcW w:w="1730"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rPr>
            </w:pPr>
          </w:p>
        </w:tc>
        <w:tc>
          <w:tcPr>
            <w:tcW w:w="2516"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p>
        </w:tc>
        <w:tc>
          <w:tcPr>
            <w:tcW w:w="1332" w:type="dxa"/>
            <w:vMerge w:val="restart"/>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05-心脏外科类材料</w:t>
            </w:r>
          </w:p>
        </w:tc>
        <w:tc>
          <w:tcPr>
            <w:tcW w:w="303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01-心律失常外科</w:t>
            </w:r>
          </w:p>
        </w:tc>
        <w:tc>
          <w:tcPr>
            <w:tcW w:w="1730" w:type="dxa"/>
            <w:vMerge w:val="restart"/>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2516" w:type="dxa"/>
            <w:vMerge w:val="restart"/>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1、高值耗材线上采购。       2、集采耗材除外。    3、供应商</w:t>
            </w:r>
            <w:r>
              <w:rPr>
                <w:rFonts w:hint="eastAsia" w:ascii="方正仿宋_GBK" w:hAnsi="方正仿宋_GBK" w:eastAsia="方正仿宋_GBK" w:cs="方正仿宋_GBK"/>
                <w:color w:val="000000"/>
                <w:sz w:val="24"/>
                <w:szCs w:val="24"/>
              </w:rPr>
              <w:t>所投产品规格应尽可能的齐全</w:t>
            </w:r>
            <w:r>
              <w:rPr>
                <w:rFonts w:hint="eastAsia" w:ascii="方正仿宋_GBK" w:hAnsi="方正仿宋_GBK" w:eastAsia="方正仿宋_GBK" w:cs="方正仿宋_GBK"/>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2</w:t>
            </w:r>
          </w:p>
        </w:tc>
        <w:tc>
          <w:tcPr>
            <w:tcW w:w="1332"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p>
        </w:tc>
        <w:tc>
          <w:tcPr>
            <w:tcW w:w="303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02-冠脉外科</w:t>
            </w:r>
          </w:p>
        </w:tc>
        <w:tc>
          <w:tcPr>
            <w:tcW w:w="1730"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2516"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w:t>
            </w:r>
          </w:p>
        </w:tc>
        <w:tc>
          <w:tcPr>
            <w:tcW w:w="1332"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p>
        </w:tc>
        <w:tc>
          <w:tcPr>
            <w:tcW w:w="303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03-结构心脏病用外科材料</w:t>
            </w:r>
          </w:p>
        </w:tc>
        <w:tc>
          <w:tcPr>
            <w:tcW w:w="1730"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2516"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w:t>
            </w:r>
          </w:p>
        </w:tc>
        <w:tc>
          <w:tcPr>
            <w:tcW w:w="1332"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p>
        </w:tc>
        <w:tc>
          <w:tcPr>
            <w:tcW w:w="303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05-其他心脏外科材料</w:t>
            </w:r>
          </w:p>
        </w:tc>
        <w:tc>
          <w:tcPr>
            <w:tcW w:w="1730"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2516"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bookmarkEnd w:id="53"/>
    </w:tbl>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24964"/>
      <w:bookmarkStart w:id="6" w:name="_Toc530045187"/>
      <w:bookmarkStart w:id="7" w:name="_Toc30975"/>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须具有所投标产品有效期内的《中华人民共和国医疗器械注册证》，若注册证有附件的，还须提供附件《医疗器械产品注册登记表》；</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3.须具备有效期内《医疗器械经营企业许可证》或《医疗器械经营许可证》</w:t>
      </w:r>
      <w:r>
        <w:rPr>
          <w:rFonts w:hint="eastAsia" w:ascii="方正仿宋_GBK" w:hAnsi="方正仿宋_GBK" w:eastAsia="方正仿宋_GBK" w:cs="方正仿宋_GBK"/>
          <w:color w:val="000000"/>
          <w:sz w:val="24"/>
          <w:szCs w:val="24"/>
          <w:lang w:eastAsia="zh-CN"/>
        </w:rPr>
        <w:t>。</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8" w:name="_Toc22548773"/>
      <w:bookmarkStart w:id="9" w:name="_Toc17509"/>
      <w:bookmarkStart w:id="10" w:name="_Toc1965"/>
      <w:bookmarkStart w:id="11" w:name="_Toc3374"/>
      <w:bookmarkStart w:id="12" w:name="_Toc3976"/>
      <w:bookmarkStart w:id="13" w:name="_Toc11412"/>
      <w:bookmarkStart w:id="14" w:name="_Toc26564"/>
      <w:bookmarkStart w:id="15" w:name="_Toc9401"/>
      <w:bookmarkStart w:id="16" w:name="_Toc6178"/>
      <w:bookmarkStart w:id="17" w:name="_Toc21930"/>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6</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11</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6</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17</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517368027"/>
      <w:bookmarkStart w:id="19" w:name="_Toc527828387"/>
      <w:bookmarkStart w:id="20" w:name="_Toc13490"/>
      <w:bookmarkStart w:id="21" w:name="_Toc517367960"/>
      <w:bookmarkStart w:id="22" w:name="_Toc8132"/>
      <w:bookmarkStart w:id="23" w:name="_Toc22978"/>
      <w:bookmarkStart w:id="24" w:name="_Toc31639"/>
      <w:bookmarkStart w:id="25" w:name="_Toc31810"/>
      <w:bookmarkStart w:id="26" w:name="_Toc6933"/>
      <w:bookmarkStart w:id="27" w:name="_Toc21862"/>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文件“附页：响应文件格式要求”的规定编制响应文件，并对文件中提出的要求和条件做出实质性响应，同时编制完整的页码、目录。</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响应文件一式两份，其中正、副本各一份（注：封面应注明项目名称、供应商名称、联系人及电话，不需密封）；纸质报价和电子版报价各一份（纸质报价需密封，报价格式详见附件2）。</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20734"/>
      <w:bookmarkStart w:id="30" w:name="_Toc1495"/>
      <w:bookmarkStart w:id="31" w:name="_Toc517368028"/>
      <w:bookmarkStart w:id="32" w:name="_Toc15317"/>
      <w:bookmarkStart w:id="33" w:name="_Toc2188"/>
      <w:bookmarkStart w:id="34" w:name="_Toc517367961"/>
      <w:bookmarkStart w:id="35" w:name="_Toc24060"/>
      <w:bookmarkStart w:id="36" w:name="_Toc527828388"/>
      <w:bookmarkStart w:id="37" w:name="_Toc24167"/>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42913421"/>
      <w:bookmarkStart w:id="40" w:name="_Toc313008358"/>
      <w:bookmarkStart w:id="41" w:name="_Toc313888362"/>
      <w:bookmarkStart w:id="42" w:name="_Toc2082"/>
      <w:bookmarkStart w:id="43" w:name="_Toc20162"/>
      <w:bookmarkStart w:id="44" w:name="_Toc106034662"/>
      <w:bookmarkStart w:id="45" w:name="_Toc6566038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42913422"/>
      <w:bookmarkStart w:id="47" w:name="_Toc313008359"/>
      <w:bookmarkStart w:id="48" w:name="_Toc313888363"/>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电子邮箱：XXXXXX@XXXXX（若法定代表人办理并签署响应文件的可不填写）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1.若为法定代表人办理并签署响应文件的，不提供此文件。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r>
        <w:rPr>
          <w:rFonts w:hint="eastAsia" w:ascii="方正仿宋_GBK" w:hAnsi="仿宋" w:eastAsia="方正仿宋_GBK"/>
          <w:sz w:val="24"/>
        </w:rPr>
        <w:t>2.若为联合体参与的，法定代表人授权委托书由联合体主办方</w:t>
      </w:r>
      <w:r>
        <w:rPr>
          <w:rFonts w:hint="eastAsia" w:ascii="方正仿宋_GBK" w:hAnsi="仿宋" w:eastAsia="方正仿宋_GBK" w:cs="宋体"/>
          <w:kern w:val="0"/>
          <w:sz w:val="24"/>
          <w:szCs w:val="24"/>
        </w:rPr>
        <w:t>（主体）</w:t>
      </w:r>
      <w:r>
        <w:rPr>
          <w:rFonts w:hint="eastAsia" w:ascii="方正仿宋_GBK" w:hAnsi="仿宋" w:eastAsia="方正仿宋_GBK"/>
          <w:sz w:val="24"/>
        </w:rPr>
        <w:t>出具。</w:t>
      </w: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65660383"/>
      <w:bookmarkStart w:id="50" w:name="_Toc2080"/>
      <w:bookmarkStart w:id="51" w:name="_Toc17010"/>
      <w:bookmarkStart w:id="52" w:name="_Toc106034663"/>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02EA1D85-F965-4C43-8011-427B3F9C9023}"/>
  </w:font>
  <w:font w:name="仿宋">
    <w:panose1 w:val="02010609060101010101"/>
    <w:charset w:val="86"/>
    <w:family w:val="modern"/>
    <w:pitch w:val="default"/>
    <w:sig w:usb0="800002BF" w:usb1="38CF7CFA" w:usb2="00000016" w:usb3="00000000" w:csb0="00040001" w:csb1="00000000"/>
    <w:embedRegular r:id="rId2" w:fontKey="{CA9CB1A4-29F8-4D58-A6DC-0E9E96693C8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1OGUyMzRlMTMxMThhZTAxMjU1ZmU1ZWJhOTU2NTEifQ=="/>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4C2E59"/>
    <w:rsid w:val="02615062"/>
    <w:rsid w:val="02BB660D"/>
    <w:rsid w:val="03FD66AC"/>
    <w:rsid w:val="05084823"/>
    <w:rsid w:val="055E66C3"/>
    <w:rsid w:val="08041D76"/>
    <w:rsid w:val="09655DC8"/>
    <w:rsid w:val="0A8C3C5A"/>
    <w:rsid w:val="0B145FD1"/>
    <w:rsid w:val="0B4E3BB1"/>
    <w:rsid w:val="0BE831F8"/>
    <w:rsid w:val="0DBD6915"/>
    <w:rsid w:val="0E653757"/>
    <w:rsid w:val="0ED07A7C"/>
    <w:rsid w:val="0EF324E5"/>
    <w:rsid w:val="0FC01DDD"/>
    <w:rsid w:val="10DC01C8"/>
    <w:rsid w:val="116503A8"/>
    <w:rsid w:val="12FB1E07"/>
    <w:rsid w:val="133F76F0"/>
    <w:rsid w:val="13704662"/>
    <w:rsid w:val="13814630"/>
    <w:rsid w:val="13AE356E"/>
    <w:rsid w:val="13DF3FC3"/>
    <w:rsid w:val="14A409DB"/>
    <w:rsid w:val="15625621"/>
    <w:rsid w:val="15F441A8"/>
    <w:rsid w:val="16A60816"/>
    <w:rsid w:val="17F26FAE"/>
    <w:rsid w:val="18492EA2"/>
    <w:rsid w:val="18687FAE"/>
    <w:rsid w:val="19804882"/>
    <w:rsid w:val="1AC856F5"/>
    <w:rsid w:val="1BD877D9"/>
    <w:rsid w:val="1D54216D"/>
    <w:rsid w:val="1DEC4F3E"/>
    <w:rsid w:val="1E27255E"/>
    <w:rsid w:val="1E3356E8"/>
    <w:rsid w:val="1E44427C"/>
    <w:rsid w:val="1FD86743"/>
    <w:rsid w:val="201D7DBD"/>
    <w:rsid w:val="21546A66"/>
    <w:rsid w:val="21693711"/>
    <w:rsid w:val="226E4C36"/>
    <w:rsid w:val="23F95523"/>
    <w:rsid w:val="2437495C"/>
    <w:rsid w:val="26030B51"/>
    <w:rsid w:val="260852E0"/>
    <w:rsid w:val="2964780D"/>
    <w:rsid w:val="29CE6BF9"/>
    <w:rsid w:val="2AC57FFB"/>
    <w:rsid w:val="2AED7E1E"/>
    <w:rsid w:val="2C041E33"/>
    <w:rsid w:val="2C516D69"/>
    <w:rsid w:val="2D7524E6"/>
    <w:rsid w:val="2E8928E3"/>
    <w:rsid w:val="2FF620A4"/>
    <w:rsid w:val="305C705B"/>
    <w:rsid w:val="30BD408D"/>
    <w:rsid w:val="327114A6"/>
    <w:rsid w:val="34DF325D"/>
    <w:rsid w:val="356E302D"/>
    <w:rsid w:val="365F5254"/>
    <w:rsid w:val="36825B67"/>
    <w:rsid w:val="38E4332B"/>
    <w:rsid w:val="391F477E"/>
    <w:rsid w:val="39842583"/>
    <w:rsid w:val="398B0EE9"/>
    <w:rsid w:val="3A07396B"/>
    <w:rsid w:val="3A086314"/>
    <w:rsid w:val="3A183D49"/>
    <w:rsid w:val="3A3D3178"/>
    <w:rsid w:val="3A757783"/>
    <w:rsid w:val="3B775651"/>
    <w:rsid w:val="3B82689F"/>
    <w:rsid w:val="3C6D55D9"/>
    <w:rsid w:val="3D0B21A9"/>
    <w:rsid w:val="3E752DC9"/>
    <w:rsid w:val="4047556D"/>
    <w:rsid w:val="41A53F56"/>
    <w:rsid w:val="443474E0"/>
    <w:rsid w:val="44A168CC"/>
    <w:rsid w:val="44A17DC5"/>
    <w:rsid w:val="44A8542F"/>
    <w:rsid w:val="4684760A"/>
    <w:rsid w:val="472E3198"/>
    <w:rsid w:val="48D60D1F"/>
    <w:rsid w:val="49664A06"/>
    <w:rsid w:val="4B046ED0"/>
    <w:rsid w:val="4B9D04D7"/>
    <w:rsid w:val="4BA43FBA"/>
    <w:rsid w:val="4C29250E"/>
    <w:rsid w:val="4C582C53"/>
    <w:rsid w:val="4CD82061"/>
    <w:rsid w:val="4D220017"/>
    <w:rsid w:val="4D433F84"/>
    <w:rsid w:val="509D5C5F"/>
    <w:rsid w:val="50AA111F"/>
    <w:rsid w:val="51E01C21"/>
    <w:rsid w:val="52F56DBE"/>
    <w:rsid w:val="53400388"/>
    <w:rsid w:val="56210721"/>
    <w:rsid w:val="56E919B9"/>
    <w:rsid w:val="57CB0088"/>
    <w:rsid w:val="596468E9"/>
    <w:rsid w:val="59ED6194"/>
    <w:rsid w:val="5B395A82"/>
    <w:rsid w:val="5D24510E"/>
    <w:rsid w:val="5EC809F4"/>
    <w:rsid w:val="5F1818BF"/>
    <w:rsid w:val="5F2F1888"/>
    <w:rsid w:val="5F6A3B63"/>
    <w:rsid w:val="603F4A02"/>
    <w:rsid w:val="60C9031A"/>
    <w:rsid w:val="61AB3DF6"/>
    <w:rsid w:val="62AC472E"/>
    <w:rsid w:val="64434207"/>
    <w:rsid w:val="644A5BFB"/>
    <w:rsid w:val="646E458C"/>
    <w:rsid w:val="64713D93"/>
    <w:rsid w:val="64C85426"/>
    <w:rsid w:val="64CF0321"/>
    <w:rsid w:val="660364FC"/>
    <w:rsid w:val="669453A6"/>
    <w:rsid w:val="66D04197"/>
    <w:rsid w:val="672804FC"/>
    <w:rsid w:val="67991669"/>
    <w:rsid w:val="6A8D37D7"/>
    <w:rsid w:val="6BA36B5C"/>
    <w:rsid w:val="6C1F3525"/>
    <w:rsid w:val="6DC522E8"/>
    <w:rsid w:val="6EFD7139"/>
    <w:rsid w:val="70054579"/>
    <w:rsid w:val="708B4D5C"/>
    <w:rsid w:val="723A6707"/>
    <w:rsid w:val="72C377F4"/>
    <w:rsid w:val="73EA2176"/>
    <w:rsid w:val="759977E2"/>
    <w:rsid w:val="770F5F97"/>
    <w:rsid w:val="785D02B4"/>
    <w:rsid w:val="79571800"/>
    <w:rsid w:val="7AA15452"/>
    <w:rsid w:val="7B5D7B47"/>
    <w:rsid w:val="7B8D1379"/>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3</Pages>
  <Words>1336</Words>
  <Characters>1583</Characters>
  <Lines>12</Lines>
  <Paragraphs>3</Paragraphs>
  <TotalTime>0</TotalTime>
  <ScaleCrop>false</ScaleCrop>
  <LinksUpToDate>false</LinksUpToDate>
  <CharactersWithSpaces>1586</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2024-06-11T11:23:50Z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