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仿宋_GBK" w:hAnsi="方正仿宋_GBK" w:eastAsia="方正仿宋_GBK" w:cs="方正仿宋_GBK"/>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一次性使用塑料血袋常规采购需求文件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3" w:name="_GoBack"/>
      <w:r>
        <w:rPr>
          <w:rFonts w:hint="eastAsia" w:ascii="方正仿宋_GBK" w:hAnsi="方正仿宋_GBK" w:eastAsia="方正仿宋_GBK" w:cs="方正仿宋_GBK"/>
          <w:color w:val="000000"/>
          <w:sz w:val="24"/>
          <w:szCs w:val="24"/>
          <w:lang w:val="en-US" w:eastAsia="zh-CN"/>
        </w:rPr>
        <w:t>重庆市第四人民医院曾</w:t>
      </w:r>
      <w:r>
        <w:rPr>
          <w:rFonts w:hint="eastAsia" w:ascii="方正仿宋_GBK" w:hAnsi="方正仿宋_GBK" w:eastAsia="方正仿宋_GBK" w:cs="方正仿宋_GBK"/>
          <w:color w:val="000000"/>
          <w:sz w:val="24"/>
          <w:szCs w:val="24"/>
        </w:rPr>
        <w:t>对</w:t>
      </w:r>
      <w:r>
        <w:rPr>
          <w:rFonts w:hint="eastAsia" w:ascii="方正仿宋_GBK" w:hAnsi="方正仿宋_GBK" w:eastAsia="方正仿宋_GBK" w:cs="方正仿宋_GBK"/>
          <w:color w:val="000000"/>
          <w:sz w:val="24"/>
          <w:szCs w:val="24"/>
          <w:lang w:val="en-US" w:eastAsia="zh-CN"/>
        </w:rPr>
        <w:t>下列</w:t>
      </w:r>
      <w:r>
        <w:rPr>
          <w:rFonts w:hint="eastAsia" w:ascii="方正仿宋_GBK" w:hAnsi="方正仿宋_GBK" w:eastAsia="方正仿宋_GBK" w:cs="方正仿宋_GBK"/>
          <w:color w:val="000000"/>
          <w:sz w:val="24"/>
          <w:szCs w:val="24"/>
        </w:rPr>
        <w:t>产品</w:t>
      </w:r>
      <w:r>
        <w:rPr>
          <w:rFonts w:hint="eastAsia" w:ascii="方正仿宋_GBK" w:hAnsi="方正仿宋_GBK" w:eastAsia="方正仿宋_GBK" w:cs="方正仿宋_GBK"/>
          <w:color w:val="000000"/>
          <w:sz w:val="24"/>
          <w:szCs w:val="24"/>
          <w:lang w:val="en-US" w:eastAsia="zh-CN"/>
        </w:rPr>
        <w:t>发布采购公告，但由于递交响应材料的供应商不足三家，采购终止。现发布再次采购公告，</w:t>
      </w:r>
      <w:r>
        <w:rPr>
          <w:rFonts w:hint="eastAsia" w:ascii="方正仿宋_GBK" w:hAnsi="方正仿宋_GBK" w:eastAsia="方正仿宋_GBK" w:cs="方正仿宋_GBK"/>
          <w:color w:val="000000"/>
          <w:sz w:val="24"/>
          <w:szCs w:val="24"/>
        </w:rPr>
        <w:t>欢迎具有相关资质且有良好信誉和配送能力的单位（公司）参</w:t>
      </w:r>
      <w:r>
        <w:rPr>
          <w:rFonts w:hint="eastAsia" w:ascii="方正仿宋_GBK" w:hAnsi="方正仿宋_GBK" w:eastAsia="方正仿宋_GBK" w:cs="方正仿宋_GBK"/>
          <w:color w:val="000000"/>
          <w:sz w:val="24"/>
          <w:szCs w:val="24"/>
          <w:lang w:val="en-US" w:eastAsia="zh-CN"/>
        </w:rPr>
        <w:t>与竞争</w:t>
      </w:r>
      <w:bookmarkEnd w:id="53"/>
      <w:r>
        <w:rPr>
          <w:rFonts w:hint="eastAsia" w:ascii="方正仿宋_GBK" w:hAnsi="方正仿宋_GBK" w:eastAsia="方正仿宋_GBK" w:cs="方正仿宋_GBK"/>
          <w:color w:val="000000"/>
          <w:sz w:val="24"/>
          <w:szCs w:val="24"/>
        </w:rPr>
        <w:t>。</w:t>
      </w:r>
    </w:p>
    <w:bookmarkEnd w:id="0"/>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1" w:name="_Toc5295"/>
      <w:bookmarkStart w:id="2" w:name="_Toc16790"/>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bookmarkEnd w:id="1"/>
      <w:bookmarkEnd w:id="2"/>
    </w:p>
    <w:tbl>
      <w:tblPr>
        <w:tblStyle w:val="13"/>
        <w:tblW w:w="8167" w:type="dxa"/>
        <w:jc w:val="center"/>
        <w:tblInd w:w="-9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0"/>
        <w:gridCol w:w="1875"/>
        <w:gridCol w:w="3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2670"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rPr>
            </w:pPr>
            <w:r>
              <w:rPr>
                <w:rFonts w:hint="eastAsia" w:ascii="方正仿宋_GBK" w:hAnsi="方正仿宋_GBK" w:eastAsia="方正仿宋_GBK" w:cs="方正仿宋_GBK"/>
                <w:color w:val="000000"/>
                <w:sz w:val="24"/>
                <w:szCs w:val="24"/>
                <w:highlight w:val="none"/>
                <w:lang w:val="en-US" w:eastAsia="zh-CN"/>
              </w:rPr>
              <w:t>医用耗材名称</w:t>
            </w:r>
          </w:p>
        </w:tc>
        <w:tc>
          <w:tcPr>
            <w:tcW w:w="1875" w:type="dxa"/>
            <w:tcBorders>
              <w:top w:val="single" w:color="auto" w:sz="4" w:space="0"/>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3622"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要求及备注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2670"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bookmarkStart w:id="3" w:name="_Toc7024"/>
            <w:bookmarkStart w:id="4" w:name="_Toc373860293"/>
            <w:r>
              <w:rPr>
                <w:rFonts w:hint="eastAsia" w:ascii="方正仿宋_GBK" w:hAnsi="方正仿宋_GBK" w:eastAsia="方正仿宋_GBK" w:cs="方正仿宋_GBK"/>
                <w:color w:val="000000"/>
                <w:sz w:val="24"/>
                <w:szCs w:val="24"/>
                <w:lang w:val="en-US" w:eastAsia="zh-CN"/>
              </w:rPr>
              <w:t>一次性使用塑料血袋</w:t>
            </w:r>
          </w:p>
        </w:tc>
        <w:tc>
          <w:tcPr>
            <w:tcW w:w="1875" w:type="dxa"/>
            <w:tcBorders>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3622"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 xml:space="preserve">1、原则上进行线上采购。        2、集采耗材除外。                     </w:t>
            </w:r>
          </w:p>
        </w:tc>
      </w:tr>
    </w:tbl>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二、资金来源</w:t>
      </w:r>
      <w:bookmarkEnd w:id="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530045187"/>
      <w:bookmarkStart w:id="6" w:name="_Toc24964"/>
      <w:bookmarkStart w:id="7" w:name="_Toc30975"/>
      <w:r>
        <w:rPr>
          <w:rFonts w:hint="eastAsia" w:ascii="方正仿宋_GBK" w:hAnsi="方正仿宋_GBK" w:eastAsia="方正仿宋_GBK" w:cs="方正仿宋_GBK"/>
          <w:color w:val="000000"/>
          <w:sz w:val="24"/>
          <w:szCs w:val="24"/>
        </w:rPr>
        <w:t>三、供应商的资格条件</w:t>
      </w:r>
      <w:bookmarkEnd w:id="5"/>
      <w:bookmarkEnd w:id="6"/>
      <w:bookmarkEnd w:id="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bookmarkEnd w:id="4"/>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8" w:name="_Toc22548773"/>
      <w:bookmarkStart w:id="9" w:name="_Toc3976"/>
      <w:bookmarkStart w:id="10" w:name="_Toc26564"/>
      <w:bookmarkStart w:id="11" w:name="_Toc6178"/>
      <w:bookmarkStart w:id="12" w:name="_Toc3374"/>
      <w:bookmarkStart w:id="13" w:name="_Toc21930"/>
      <w:bookmarkStart w:id="14" w:name="_Toc1965"/>
      <w:bookmarkStart w:id="15" w:name="_Toc17509"/>
      <w:bookmarkStart w:id="16" w:name="_Toc9401"/>
      <w:bookmarkStart w:id="17" w:name="_Toc11412"/>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所</w:t>
      </w:r>
      <w:r>
        <w:rPr>
          <w:rFonts w:hint="eastAsia" w:ascii="方正仿宋_GBK" w:hAnsi="方正仿宋_GBK" w:eastAsia="方正仿宋_GBK" w:cs="方正仿宋_GBK"/>
          <w:color w:val="000000"/>
          <w:sz w:val="24"/>
          <w:szCs w:val="24"/>
          <w:lang w:val="en-US" w:eastAsia="zh-CN"/>
        </w:rPr>
        <w:t>投</w:t>
      </w:r>
      <w:r>
        <w:rPr>
          <w:rFonts w:hint="eastAsia" w:ascii="方正仿宋_GBK" w:hAnsi="方正仿宋_GBK" w:eastAsia="方正仿宋_GBK" w:cs="方正仿宋_GBK"/>
          <w:color w:val="000000"/>
          <w:sz w:val="24"/>
          <w:szCs w:val="24"/>
        </w:rPr>
        <w:t>产品若属于第一类医疗器械的，</w:t>
      </w:r>
      <w:r>
        <w:rPr>
          <w:rFonts w:hint="eastAsia" w:ascii="方正仿宋_GBK" w:hAnsi="方正仿宋_GBK" w:eastAsia="方正仿宋_GBK" w:cs="方正仿宋_GBK"/>
          <w:color w:val="000000"/>
          <w:sz w:val="24"/>
          <w:szCs w:val="24"/>
          <w:lang w:val="en-US" w:eastAsia="zh-CN"/>
        </w:rPr>
        <w:t>应具有</w:t>
      </w:r>
      <w:r>
        <w:rPr>
          <w:rFonts w:hint="eastAsia" w:ascii="方正仿宋_GBK" w:hAnsi="方正仿宋_GBK" w:eastAsia="方正仿宋_GBK" w:cs="方正仿宋_GBK"/>
          <w:color w:val="000000"/>
          <w:sz w:val="24"/>
          <w:szCs w:val="24"/>
        </w:rPr>
        <w:t>第一类医疗器械备案</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（提供</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 所投标产品若属第二类或第三类医疗器械的，应具有在有效期内的中华人民共和国医疗器械注册证（提供注册证复印件）；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4. 所投产品若属第二类医疗器械的，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应具备医疗器械经营许可证（提供证书复印件）</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四、服务要求</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28</w:t>
      </w:r>
      <w:r>
        <w:rPr>
          <w:rFonts w:hint="eastAsia" w:ascii="方正仿宋_GBK" w:hAnsi="方正仿宋_GBK" w:eastAsia="方正仿宋_GBK" w:cs="方正仿宋_GBK"/>
          <w:color w:val="000000"/>
          <w:sz w:val="24"/>
          <w:szCs w:val="24"/>
        </w:rPr>
        <w:t>日）起三个工作日。</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失败原因，响应文件概不退还。</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8132"/>
      <w:bookmarkStart w:id="19" w:name="_Toc517367960"/>
      <w:bookmarkStart w:id="20" w:name="_Toc527828387"/>
      <w:bookmarkStart w:id="21" w:name="_Toc13490"/>
      <w:bookmarkStart w:id="22" w:name="_Toc31810"/>
      <w:bookmarkStart w:id="23" w:name="_Toc21862"/>
      <w:bookmarkStart w:id="24" w:name="_Toc31639"/>
      <w:bookmarkStart w:id="25" w:name="_Toc6933"/>
      <w:bookmarkStart w:id="26" w:name="_Toc22978"/>
      <w:bookmarkStart w:id="27" w:name="_Toc517368027"/>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w:t>
      </w:r>
    </w:p>
    <w:p>
      <w:pPr>
        <w:keepNext/>
        <w:keepLines/>
        <w:numPr>
          <w:ilvl w:val="0"/>
          <w:numId w:val="0"/>
        </w:numPr>
        <w:spacing w:line="480" w:lineRule="exact"/>
        <w:ind w:firstLine="480" w:firstLineChars="200"/>
        <w:rPr>
          <w:rFonts w:hint="eastAsia" w:ascii="方正仿宋_GBK" w:hAnsi="方正仿宋_GBK" w:eastAsia="方正仿宋_GBK" w:cs="方正仿宋_GBK"/>
          <w:color w:val="FF0000"/>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1.报价唯一：只能有一个有效报价，不得提交选择性报价。</w:t>
      </w:r>
    </w:p>
    <w:p>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2.属于重庆药交所医疗器械电子挂牌交易的医用耗材，原则上报价不得高于药交所最低价。</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w:t>
      </w:r>
      <w:r>
        <w:rPr>
          <w:rFonts w:hint="eastAsia" w:ascii="方正仿宋_GBK" w:hAnsi="方正仿宋_GBK" w:eastAsia="方正仿宋_GBK" w:cs="方正仿宋_GBK"/>
          <w:b/>
          <w:bCs/>
          <w:color w:val="000000"/>
          <w:sz w:val="24"/>
          <w:szCs w:val="24"/>
          <w:lang w:val="en-US" w:eastAsia="zh-CN"/>
        </w:rPr>
        <w:t>响应文件原则上应采用软面订本或胶装方式进行装订，同时编制完整的页码、目录。</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w:t>
      </w:r>
      <w:r>
        <w:rPr>
          <w:rFonts w:hint="eastAsia" w:ascii="方正仿宋_GBK" w:hAnsi="方正仿宋_GBK" w:eastAsia="方正仿宋_GBK" w:cs="方正仿宋_GBK"/>
          <w:color w:val="auto"/>
          <w:sz w:val="24"/>
          <w:szCs w:val="24"/>
          <w:lang w:eastAsia="zh-CN"/>
        </w:rPr>
        <w:t>纸质报价</w:t>
      </w:r>
      <w:r>
        <w:rPr>
          <w:rFonts w:hint="eastAsia" w:ascii="方正仿宋_GBK" w:hAnsi="方正仿宋_GBK" w:eastAsia="方正仿宋_GBK" w:cs="方正仿宋_GBK"/>
          <w:color w:val="auto"/>
          <w:sz w:val="24"/>
          <w:szCs w:val="24"/>
          <w:lang w:val="en-US" w:eastAsia="zh-CN"/>
        </w:rPr>
        <w:t>函及明细报价表</w:t>
      </w:r>
      <w:r>
        <w:rPr>
          <w:rFonts w:hint="eastAsia" w:ascii="方正仿宋_GBK" w:hAnsi="方正仿宋_GBK" w:eastAsia="方正仿宋_GBK" w:cs="方正仿宋_GBK"/>
          <w:color w:val="auto"/>
          <w:sz w:val="24"/>
          <w:szCs w:val="24"/>
          <w:lang w:eastAsia="zh-CN"/>
        </w:rPr>
        <w:t>各一份（</w:t>
      </w:r>
      <w:r>
        <w:rPr>
          <w:rFonts w:hint="eastAsia" w:ascii="方正仿宋_GBK" w:hAnsi="方正仿宋_GBK" w:eastAsia="方正仿宋_GBK" w:cs="方正仿宋_GBK"/>
          <w:color w:val="auto"/>
          <w:sz w:val="24"/>
          <w:szCs w:val="24"/>
          <w:highlight w:val="none"/>
          <w:lang w:eastAsia="zh-CN"/>
        </w:rPr>
        <w:t>需密封，</w:t>
      </w:r>
      <w:r>
        <w:rPr>
          <w:rFonts w:hint="eastAsia" w:ascii="方正仿宋_GBK" w:hAnsi="方正仿宋_GBK" w:eastAsia="方正仿宋_GBK" w:cs="方正仿宋_GBK"/>
          <w:color w:val="auto"/>
          <w:sz w:val="24"/>
          <w:szCs w:val="24"/>
          <w:highlight w:val="none"/>
          <w:lang w:val="en-US" w:eastAsia="zh-CN"/>
        </w:rPr>
        <w:t>明细</w:t>
      </w:r>
      <w:r>
        <w:rPr>
          <w:rFonts w:hint="eastAsia" w:ascii="方正仿宋_GBK" w:hAnsi="方正仿宋_GBK" w:eastAsia="方正仿宋_GBK" w:cs="方正仿宋_GBK"/>
          <w:color w:val="auto"/>
          <w:sz w:val="24"/>
          <w:szCs w:val="24"/>
          <w:highlight w:val="none"/>
          <w:lang w:eastAsia="zh-CN"/>
        </w:rPr>
        <w:t>报价</w:t>
      </w:r>
      <w:r>
        <w:rPr>
          <w:rFonts w:hint="eastAsia" w:ascii="方正仿宋_GBK" w:hAnsi="方正仿宋_GBK" w:eastAsia="方正仿宋_GBK" w:cs="方正仿宋_GBK"/>
          <w:color w:val="auto"/>
          <w:sz w:val="24"/>
          <w:szCs w:val="24"/>
          <w:highlight w:val="none"/>
          <w:lang w:val="en-US" w:eastAsia="zh-CN"/>
        </w:rPr>
        <w:t>表</w:t>
      </w:r>
      <w:r>
        <w:rPr>
          <w:rFonts w:hint="eastAsia" w:ascii="方正仿宋_GBK" w:hAnsi="方正仿宋_GBK" w:eastAsia="方正仿宋_GBK" w:cs="方正仿宋_GBK"/>
          <w:color w:val="auto"/>
          <w:sz w:val="24"/>
          <w:szCs w:val="24"/>
          <w:highlight w:val="none"/>
          <w:lang w:eastAsia="zh-CN"/>
        </w:rPr>
        <w:t>格式详见附件2）；</w:t>
      </w:r>
      <w:r>
        <w:rPr>
          <w:rFonts w:hint="eastAsia" w:ascii="方正仿宋_GBK" w:hAnsi="方正仿宋_GBK" w:eastAsia="方正仿宋_GBK" w:cs="方正仿宋_GBK"/>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eastAsia" w:ascii="方正仿宋_GBK" w:hAnsi="方正仿宋_GBK" w:eastAsia="方正仿宋_GBK" w:cs="方正仿宋_GBK"/>
          <w:color w:val="auto"/>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3.实际配送的货物必须与遴选时提供的样品一致，不能以次充好或提供假冒伪劣产品，否则本单位有权单方中止其供货并追究相关法律责任。</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517368028"/>
      <w:bookmarkStart w:id="30" w:name="_Toc2188"/>
      <w:bookmarkStart w:id="31" w:name="_Toc24060"/>
      <w:bookmarkStart w:id="32" w:name="_Toc24167"/>
      <w:bookmarkStart w:id="33" w:name="_Toc1495"/>
      <w:bookmarkStart w:id="34" w:name="_Toc527828388"/>
      <w:bookmarkStart w:id="35" w:name="_Toc15317"/>
      <w:bookmarkStart w:id="36" w:name="_Toc517367961"/>
      <w:bookmarkStart w:id="37" w:name="_Toc20734"/>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pStyle w:val="5"/>
        <w:jc w:val="center"/>
        <w:rPr>
          <w:rFonts w:hint="eastAsia" w:ascii="方正仿宋_GBK" w:hAnsi="方正仿宋_GBK" w:eastAsia="方正仿宋_GBK" w:cs="方正仿宋_GBK"/>
          <w:b/>
          <w:bCs/>
          <w:sz w:val="28"/>
          <w:szCs w:val="32"/>
          <w:lang w:val="en-US" w:eastAsia="zh-CN"/>
        </w:rPr>
      </w:pPr>
    </w:p>
    <w:p>
      <w:pPr>
        <w:pStyle w:val="5"/>
        <w:jc w:val="center"/>
        <w:rPr>
          <w:rFonts w:hint="eastAsia" w:ascii="方正仿宋_GBK" w:hAnsi="方正仿宋_GBK" w:eastAsia="方正仿宋_GBK" w:cs="方正仿宋_GBK"/>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1"/>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的有效期为提交响应文件截止时间起90天。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spacing w:line="400" w:lineRule="exact"/>
        <w:ind w:firstLine="480" w:firstLineChars="200"/>
        <w:rPr>
          <w:rFonts w:hint="eastAsia" w:ascii="方正仿宋_GBK" w:hAnsi="宋体" w:eastAsia="方正仿宋_GBK"/>
          <w:sz w:val="24"/>
          <w:szCs w:val="24"/>
        </w:rPr>
      </w:pPr>
    </w:p>
    <w:p>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pPr>
        <w:snapToGrid w:val="0"/>
        <w:spacing w:line="500" w:lineRule="exact"/>
        <w:ind w:firstLine="480" w:firstLineChars="200"/>
        <w:rPr>
          <w:rFonts w:hint="eastAsia" w:ascii="方正仿宋_GBK" w:hAnsi="宋体" w:eastAsia="方正仿宋_GBK"/>
          <w:sz w:val="24"/>
          <w:szCs w:val="28"/>
        </w:rPr>
      </w:pPr>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spacing w:line="360" w:lineRule="auto"/>
        <w:rPr>
          <w:rFonts w:hint="eastAsia"/>
        </w:rPr>
      </w:pPr>
      <w:r>
        <w:rPr>
          <w:rFonts w:hint="eastAsia" w:ascii="方正仿宋_GBK" w:hAnsi="宋体" w:eastAsia="方正仿宋_GBK"/>
          <w:sz w:val="24"/>
          <w:szCs w:val="24"/>
        </w:rPr>
        <w:t xml:space="preserve">                                          </w:t>
      </w:r>
    </w:p>
    <w:p>
      <w:pPr>
        <w:spacing w:line="360" w:lineRule="auto"/>
        <w:ind w:right="480" w:firstLine="6480" w:firstLineChars="2700"/>
        <w:rPr>
          <w:rFonts w:hint="eastAsia" w:ascii="方正仿宋_GBK" w:hAnsi="宋体" w:eastAsia="方正仿宋_GBK"/>
          <w:sz w:val="24"/>
          <w:szCs w:val="24"/>
        </w:rPr>
      </w:pPr>
    </w:p>
    <w:p>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42913421"/>
      <w:bookmarkStart w:id="40" w:name="_Toc313008358"/>
      <w:bookmarkStart w:id="41" w:name="_Toc313888362"/>
      <w:bookmarkStart w:id="42" w:name="_Toc65660382"/>
      <w:bookmarkStart w:id="43" w:name="_Toc2082"/>
      <w:bookmarkStart w:id="44" w:name="_Toc20162"/>
      <w:bookmarkStart w:id="45" w:name="_Toc10603466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13008359"/>
      <w:bookmarkStart w:id="47" w:name="_Toc342913422"/>
      <w:bookmarkStart w:id="48" w:name="_Toc313888363"/>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pPr>
        <w:tabs>
          <w:tab w:val="left" w:pos="6300"/>
        </w:tabs>
        <w:snapToGrid w:val="0"/>
        <w:spacing w:line="500" w:lineRule="exact"/>
        <w:ind w:firstLine="570"/>
        <w:rPr>
          <w:rFonts w:hint="eastAsia" w:ascii="方正仿宋_GBK" w:hAnsi="宋体" w:eastAsia="方正仿宋_GBK"/>
          <w:sz w:val="24"/>
          <w:szCs w:val="24"/>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遴选</w:t>
      </w:r>
      <w:r>
        <w:rPr>
          <w:rFonts w:hint="eastAsia" w:ascii="方正仿宋_GBK" w:hAnsi="宋体" w:eastAsia="方正仿宋_GBK"/>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eastAsia" w:ascii="方正仿宋_GBK" w:hAnsi="仿宋"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pPr>
        <w:widowControl/>
        <w:numPr>
          <w:ilvl w:val="0"/>
          <w:numId w:val="2"/>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2"/>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pPr>
        <w:widowControl/>
        <w:spacing w:line="400" w:lineRule="exact"/>
        <w:ind w:firstLine="480" w:firstLineChars="200"/>
        <w:jc w:val="left"/>
        <w:rPr>
          <w:rFonts w:hint="eastAsia" w:ascii="方正仿宋_GBK" w:hAnsi="宋体" w:eastAsia="方正仿宋_GBK"/>
          <w:sz w:val="24"/>
          <w:szCs w:val="24"/>
        </w:rPr>
      </w:pPr>
    </w:p>
    <w:p>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2080"/>
      <w:bookmarkStart w:id="50" w:name="_Toc17010"/>
      <w:bookmarkStart w:id="51" w:name="_Toc65660383"/>
      <w:bookmarkStart w:id="52" w:name="_Toc106034663"/>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pPr>
        <w:pStyle w:val="6"/>
        <w:rPr>
          <w:rFonts w:hint="eastAsia"/>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pPr>
        <w:pStyle w:val="6"/>
        <w:rPr>
          <w:rFonts w:hint="eastAsia"/>
        </w:rPr>
      </w:pPr>
      <w:r>
        <w:rPr>
          <w:rFonts w:hint="eastAsia"/>
        </w:rPr>
        <w:t>　　　</w:t>
      </w:r>
    </w:p>
    <w:p>
      <w:pPr>
        <w:pStyle w:val="6"/>
        <w:rPr>
          <w:rFonts w:hint="eastAsia" w:ascii="方正仿宋_GBK" w:hAnsi="方正仿宋_GBK" w:eastAsia="方正仿宋_GBK" w:cs="方正仿宋_GBK"/>
          <w:sz w:val="24"/>
          <w:szCs w:val="32"/>
        </w:rPr>
      </w:pPr>
      <w:r>
        <w:rPr>
          <w:rFonts w:hint="eastAsia"/>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widowControl/>
        <w:spacing w:line="400" w:lineRule="exact"/>
        <w:ind w:firstLine="480" w:firstLineChars="200"/>
        <w:jc w:val="left"/>
        <w:rPr>
          <w:rFonts w:hint="eastAsia" w:ascii="方正仿宋_GBK" w:hAnsi="宋体" w:eastAsia="方正仿宋_GBK"/>
          <w:sz w:val="24"/>
          <w:szCs w:val="24"/>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FB1265E2-31F9-44B5-96C5-72390AA5B6FA}"/>
  </w:font>
  <w:font w:name="仿宋">
    <w:panose1 w:val="02010609060101010101"/>
    <w:charset w:val="86"/>
    <w:family w:val="modern"/>
    <w:pitch w:val="default"/>
    <w:sig w:usb0="800002BF" w:usb1="38CF7CFA" w:usb2="00000016" w:usb3="00000000" w:csb0="00040001" w:csb1="00000000"/>
    <w:embedRegular r:id="rId2" w:fontKey="{801398D8-8DA3-43D1-92EF-D70526A084D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E6E0"/>
    <w:multiLevelType w:val="singleLevel"/>
    <w:tmpl w:val="0317E6E0"/>
    <w:lvl w:ilvl="0" w:tentative="0">
      <w:start w:val="1"/>
      <w:numFmt w:val="chineseCounting"/>
      <w:suff w:val="nothing"/>
      <w:lvlText w:val="%1、"/>
      <w:lvlJc w:val="left"/>
      <w:rPr>
        <w:rFonts w:hint="eastAsia"/>
      </w:rPr>
    </w:lvl>
  </w:abstractNum>
  <w:abstractNum w:abstractNumId="1">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615062"/>
    <w:rsid w:val="02BB660D"/>
    <w:rsid w:val="03FD66AC"/>
    <w:rsid w:val="043D741E"/>
    <w:rsid w:val="05084823"/>
    <w:rsid w:val="055E66C3"/>
    <w:rsid w:val="07175A35"/>
    <w:rsid w:val="08041D76"/>
    <w:rsid w:val="09655DC8"/>
    <w:rsid w:val="0A8C3C5A"/>
    <w:rsid w:val="0AD0400F"/>
    <w:rsid w:val="0B145FD1"/>
    <w:rsid w:val="0B4E3BB1"/>
    <w:rsid w:val="0BE813AB"/>
    <w:rsid w:val="0BE831F8"/>
    <w:rsid w:val="0DBD6915"/>
    <w:rsid w:val="0E653757"/>
    <w:rsid w:val="0ED07A7C"/>
    <w:rsid w:val="0EF324E5"/>
    <w:rsid w:val="0FC01DDD"/>
    <w:rsid w:val="10DC01C8"/>
    <w:rsid w:val="116503A8"/>
    <w:rsid w:val="11CB07E1"/>
    <w:rsid w:val="12FB1E07"/>
    <w:rsid w:val="133F76F0"/>
    <w:rsid w:val="134E6759"/>
    <w:rsid w:val="13704662"/>
    <w:rsid w:val="13814630"/>
    <w:rsid w:val="13AE356E"/>
    <w:rsid w:val="13DF3FC3"/>
    <w:rsid w:val="14A409DB"/>
    <w:rsid w:val="15625621"/>
    <w:rsid w:val="15F441A8"/>
    <w:rsid w:val="16A60816"/>
    <w:rsid w:val="17F26FAE"/>
    <w:rsid w:val="18492EA2"/>
    <w:rsid w:val="18687FAE"/>
    <w:rsid w:val="19804882"/>
    <w:rsid w:val="198A3FF9"/>
    <w:rsid w:val="19B56C19"/>
    <w:rsid w:val="1AC856F5"/>
    <w:rsid w:val="1BD877D9"/>
    <w:rsid w:val="1D54216D"/>
    <w:rsid w:val="1E27255E"/>
    <w:rsid w:val="1E3356E8"/>
    <w:rsid w:val="1E44427C"/>
    <w:rsid w:val="1EDB1A02"/>
    <w:rsid w:val="1F034475"/>
    <w:rsid w:val="1FD86743"/>
    <w:rsid w:val="201D7DBD"/>
    <w:rsid w:val="21546A66"/>
    <w:rsid w:val="21693711"/>
    <w:rsid w:val="216A0C90"/>
    <w:rsid w:val="226E4C36"/>
    <w:rsid w:val="22E77460"/>
    <w:rsid w:val="233C7F0F"/>
    <w:rsid w:val="23F95523"/>
    <w:rsid w:val="240B2D63"/>
    <w:rsid w:val="2437495C"/>
    <w:rsid w:val="259B2A11"/>
    <w:rsid w:val="26030B51"/>
    <w:rsid w:val="260852E0"/>
    <w:rsid w:val="280E56C1"/>
    <w:rsid w:val="29396A00"/>
    <w:rsid w:val="2964780D"/>
    <w:rsid w:val="29CE6BF9"/>
    <w:rsid w:val="2AC57FFB"/>
    <w:rsid w:val="2AED7E1E"/>
    <w:rsid w:val="2AF9352D"/>
    <w:rsid w:val="2C041E33"/>
    <w:rsid w:val="2C516D69"/>
    <w:rsid w:val="2D7524E6"/>
    <w:rsid w:val="2E8928E3"/>
    <w:rsid w:val="2F5A5EDA"/>
    <w:rsid w:val="2FF620A4"/>
    <w:rsid w:val="305C705B"/>
    <w:rsid w:val="30BD408D"/>
    <w:rsid w:val="327114A6"/>
    <w:rsid w:val="34192013"/>
    <w:rsid w:val="34DF325D"/>
    <w:rsid w:val="3542559A"/>
    <w:rsid w:val="356E302D"/>
    <w:rsid w:val="36170071"/>
    <w:rsid w:val="365F5254"/>
    <w:rsid w:val="36643853"/>
    <w:rsid w:val="36825B67"/>
    <w:rsid w:val="371210D2"/>
    <w:rsid w:val="38E4332B"/>
    <w:rsid w:val="391F477E"/>
    <w:rsid w:val="39842583"/>
    <w:rsid w:val="398B0EE9"/>
    <w:rsid w:val="39935384"/>
    <w:rsid w:val="3A07396B"/>
    <w:rsid w:val="3A086314"/>
    <w:rsid w:val="3A126102"/>
    <w:rsid w:val="3A183D49"/>
    <w:rsid w:val="3A3D3178"/>
    <w:rsid w:val="3A757783"/>
    <w:rsid w:val="3AC802EF"/>
    <w:rsid w:val="3B775651"/>
    <w:rsid w:val="3B82689F"/>
    <w:rsid w:val="3D0B21A9"/>
    <w:rsid w:val="3E752DC9"/>
    <w:rsid w:val="4047556D"/>
    <w:rsid w:val="407A652F"/>
    <w:rsid w:val="41A53F56"/>
    <w:rsid w:val="443474E0"/>
    <w:rsid w:val="44A168CC"/>
    <w:rsid w:val="44A17DC5"/>
    <w:rsid w:val="44A8542F"/>
    <w:rsid w:val="451021B3"/>
    <w:rsid w:val="4684760A"/>
    <w:rsid w:val="47217087"/>
    <w:rsid w:val="472E3198"/>
    <w:rsid w:val="49664A06"/>
    <w:rsid w:val="4B046ED0"/>
    <w:rsid w:val="4B9C3509"/>
    <w:rsid w:val="4B9D04D7"/>
    <w:rsid w:val="4BA43FBA"/>
    <w:rsid w:val="4C29250E"/>
    <w:rsid w:val="4C582C53"/>
    <w:rsid w:val="4CD82061"/>
    <w:rsid w:val="4D220017"/>
    <w:rsid w:val="4D433F84"/>
    <w:rsid w:val="4DA229BC"/>
    <w:rsid w:val="4F970559"/>
    <w:rsid w:val="509D5C5F"/>
    <w:rsid w:val="50AA111F"/>
    <w:rsid w:val="51E01C21"/>
    <w:rsid w:val="52F56DBE"/>
    <w:rsid w:val="53400388"/>
    <w:rsid w:val="550B0ED4"/>
    <w:rsid w:val="56210721"/>
    <w:rsid w:val="566E5A98"/>
    <w:rsid w:val="56D6766D"/>
    <w:rsid w:val="56DC505C"/>
    <w:rsid w:val="56E919B9"/>
    <w:rsid w:val="57CB0088"/>
    <w:rsid w:val="58C6010C"/>
    <w:rsid w:val="596468E9"/>
    <w:rsid w:val="596D67DA"/>
    <w:rsid w:val="59ED6194"/>
    <w:rsid w:val="5B395A82"/>
    <w:rsid w:val="5B755C47"/>
    <w:rsid w:val="5D24510E"/>
    <w:rsid w:val="5E3B6EA6"/>
    <w:rsid w:val="5EC809F4"/>
    <w:rsid w:val="5F1818BF"/>
    <w:rsid w:val="5F2F1888"/>
    <w:rsid w:val="5F6A3B63"/>
    <w:rsid w:val="603F4A02"/>
    <w:rsid w:val="60C9031A"/>
    <w:rsid w:val="61AB3DF6"/>
    <w:rsid w:val="62AC472E"/>
    <w:rsid w:val="64434207"/>
    <w:rsid w:val="644A5BFB"/>
    <w:rsid w:val="646E458C"/>
    <w:rsid w:val="64713D93"/>
    <w:rsid w:val="64C85426"/>
    <w:rsid w:val="64CF0321"/>
    <w:rsid w:val="660364FC"/>
    <w:rsid w:val="66426D68"/>
    <w:rsid w:val="669453A6"/>
    <w:rsid w:val="66D04197"/>
    <w:rsid w:val="66EF4CD2"/>
    <w:rsid w:val="672804FC"/>
    <w:rsid w:val="675021EA"/>
    <w:rsid w:val="67991669"/>
    <w:rsid w:val="69426A8C"/>
    <w:rsid w:val="6A8D37D7"/>
    <w:rsid w:val="6BA36B5C"/>
    <w:rsid w:val="6C1F3525"/>
    <w:rsid w:val="6C2F6015"/>
    <w:rsid w:val="6DC522E8"/>
    <w:rsid w:val="6EFD7139"/>
    <w:rsid w:val="70054579"/>
    <w:rsid w:val="708B4D5C"/>
    <w:rsid w:val="7107171B"/>
    <w:rsid w:val="723A6707"/>
    <w:rsid w:val="72C377F4"/>
    <w:rsid w:val="73B21561"/>
    <w:rsid w:val="73EA2176"/>
    <w:rsid w:val="74B56105"/>
    <w:rsid w:val="759977E2"/>
    <w:rsid w:val="761E6A3A"/>
    <w:rsid w:val="770F5F97"/>
    <w:rsid w:val="785D02B4"/>
    <w:rsid w:val="796F0EC4"/>
    <w:rsid w:val="7AA15452"/>
    <w:rsid w:val="7B5D7B47"/>
    <w:rsid w:val="7B8D1379"/>
    <w:rsid w:val="7C4718E6"/>
    <w:rsid w:val="7CA547CE"/>
    <w:rsid w:val="7CCF152D"/>
    <w:rsid w:val="7EB951A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2"/>
    <w:link w:val="10"/>
    <w:qFormat/>
    <w:uiPriority w:val="99"/>
    <w:rPr>
      <w:sz w:val="18"/>
      <w:szCs w:val="18"/>
    </w:rPr>
  </w:style>
  <w:style w:type="character" w:customStyle="1" w:styleId="16">
    <w:name w:val="页脚 Char"/>
    <w:basedOn w:val="12"/>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14</Pages>
  <Words>4462</Words>
  <Characters>4700</Characters>
  <Lines>12</Lines>
  <Paragraphs>3</Paragraphs>
  <ScaleCrop>false</ScaleCrop>
  <LinksUpToDate>false</LinksUpToDate>
  <CharactersWithSpaces>5519</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dcterms:modified xsi:type="dcterms:W3CDTF">2024-08-28T08:24:45Z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FE8578EC5C86486EAE7842E577B586F4_13</vt:lpwstr>
  </property>
</Properties>
</file>