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检验科临检组常用试剂及耗材常规采购需求文件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骨髓涂片检查染液</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过氧化物酶染色液（POX）（氧化WG-KI法）；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氯醋酸AS-D萘酚酯酶染色液（AS-DCE）；</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α-丁酸萘酚酯酶染色液（α-NBE）；④中性粒细胞碱性磷酸酶染色液（NAP）；⑤铁染色液；⑥糖原染色液；⑦瑞氏染液</w:t>
            </w:r>
          </w:p>
        </w:tc>
        <w:tc>
          <w:tcPr>
            <w:tcW w:w="990"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淋巴细胞亚群检测试剂及耗材</w:t>
            </w:r>
            <w:r>
              <w:rPr>
                <w:rFonts w:hint="eastAsia" w:ascii="方正仿宋_GBK" w:hAnsi="方正仿宋_GBK" w:eastAsia="方正仿宋_GBK" w:cs="方正仿宋_GBK"/>
                <w:color w:val="000000"/>
                <w:sz w:val="24"/>
                <w:szCs w:val="24"/>
                <w:highlight w:val="none"/>
                <w:lang w:val="en-US" w:eastAsia="zh-CN"/>
              </w:rPr>
              <w:t>（BD Canto II流式细胞分析仪）</w:t>
            </w:r>
          </w:p>
        </w:tc>
        <w:tc>
          <w:tcPr>
            <w:tcW w:w="321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采血管智能管理工作站耗材</w:t>
            </w:r>
            <w:r>
              <w:rPr>
                <w:rFonts w:hint="eastAsia" w:ascii="方正仿宋_GBK" w:hAnsi="方正仿宋_GBK" w:eastAsia="方正仿宋_GBK" w:cs="方正仿宋_GBK"/>
                <w:color w:val="000000"/>
                <w:sz w:val="24"/>
                <w:szCs w:val="24"/>
                <w:highlight w:val="none"/>
                <w:lang w:val="en-US" w:eastAsia="zh-CN"/>
              </w:rPr>
              <w:t>（珠海丰炎 CG-16S）</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1965"/>
      <w:bookmarkStart w:id="10" w:name="_Toc21930"/>
      <w:bookmarkStart w:id="11" w:name="_Toc26564"/>
      <w:bookmarkStart w:id="12" w:name="_Toc22548773"/>
      <w:bookmarkStart w:id="13" w:name="_Toc9401"/>
      <w:bookmarkStart w:id="14" w:name="_Toc11412"/>
      <w:bookmarkStart w:id="15" w:name="_Toc17509"/>
      <w:bookmarkStart w:id="16" w:name="_Toc3374"/>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21862"/>
      <w:bookmarkStart w:id="20" w:name="_Toc517367960"/>
      <w:bookmarkStart w:id="21" w:name="_Toc31639"/>
      <w:bookmarkStart w:id="22" w:name="_Toc22978"/>
      <w:bookmarkStart w:id="23" w:name="_Toc517368027"/>
      <w:bookmarkStart w:id="24" w:name="_Toc31810"/>
      <w:bookmarkStart w:id="25" w:name="_Toc527828387"/>
      <w:bookmarkStart w:id="26" w:name="_Toc8132"/>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27828388"/>
      <w:bookmarkStart w:id="30" w:name="_Toc517367961"/>
      <w:bookmarkStart w:id="31" w:name="_Toc20734"/>
      <w:bookmarkStart w:id="32" w:name="_Toc15317"/>
      <w:bookmarkStart w:id="33" w:name="_Toc1495"/>
      <w:bookmarkStart w:id="34" w:name="_Toc2188"/>
      <w:bookmarkStart w:id="35" w:name="_Toc517368028"/>
      <w:bookmarkStart w:id="36" w:name="_Toc24167"/>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bookmarkStart w:id="53" w:name="_GoBack"/>
      <w:bookmarkEnd w:id="53"/>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0E3E2CC-2001-4812-8D14-C516F3696E56}"/>
  </w:font>
  <w:font w:name="仿宋">
    <w:panose1 w:val="02010609060101010101"/>
    <w:charset w:val="86"/>
    <w:family w:val="modern"/>
    <w:pitch w:val="default"/>
    <w:sig w:usb0="800002BF" w:usb1="38CF7CFA" w:usb2="00000016" w:usb3="00000000" w:csb0="00040001" w:csb1="00000000"/>
    <w:embedRegular r:id="rId2" w:fontKey="{2D6E5AF6-A084-4AD4-BA76-8A8162C087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7586E77"/>
    <w:rsid w:val="280E56C1"/>
    <w:rsid w:val="29396A00"/>
    <w:rsid w:val="2964780D"/>
    <w:rsid w:val="29CE6BF9"/>
    <w:rsid w:val="2AC57FFB"/>
    <w:rsid w:val="2AED7E1E"/>
    <w:rsid w:val="2AF9352D"/>
    <w:rsid w:val="2B2918E2"/>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B9C24EF"/>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15</Pages>
  <Words>4668</Words>
  <Characters>4938</Characters>
  <Lines>12</Lines>
  <Paragraphs>3</Paragraphs>
  <ScaleCrop>false</ScaleCrop>
  <LinksUpToDate>false</LinksUpToDate>
  <CharactersWithSpaces>5751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2024-08-30T09:29:36Z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