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供应科用基础卫生材料常规</w:t>
      </w:r>
      <w:r>
        <w:rPr>
          <w:rFonts w:hint="default" w:ascii="Times New Roman" w:hAnsi="Times New Roman" w:eastAsia="方正仿宋_GBK" w:cs="Times New Roman"/>
          <w:b/>
          <w:bCs/>
          <w:color w:val="000000"/>
          <w:sz w:val="28"/>
          <w:szCs w:val="28"/>
          <w:lang w:val="en-US" w:eastAsia="zh-CN"/>
        </w:rPr>
        <w:t>采购需求文件</w:t>
      </w:r>
    </w:p>
    <w:p>
      <w:pPr>
        <w:keepNext/>
        <w:keepLines/>
        <w:spacing w:line="480" w:lineRule="exact"/>
        <w:ind w:firstLine="480" w:firstLineChars="200"/>
        <w:rPr>
          <w:rFonts w:hint="default" w:ascii="Times New Roman" w:hAnsi="Times New Roman" w:eastAsia="方正仿宋_GBK" w:cs="Times New Roman"/>
          <w:color w:val="000000"/>
          <w:sz w:val="24"/>
          <w:szCs w:val="24"/>
        </w:rPr>
      </w:pP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重庆市第四人民医院本着公平、公正、公开、诚信的原则，拟对医院</w:t>
      </w:r>
      <w:r>
        <w:rPr>
          <w:rFonts w:hint="eastAsia" w:ascii="Times New Roman" w:hAnsi="Times New Roman" w:eastAsia="方正仿宋_GBK" w:cs="Times New Roman"/>
          <w:color w:val="000000"/>
          <w:sz w:val="24"/>
          <w:szCs w:val="24"/>
          <w:lang w:val="en-US" w:eastAsia="zh-CN"/>
        </w:rPr>
        <w:t>供应科用基础卫生材料常规</w:t>
      </w:r>
      <w:r>
        <w:rPr>
          <w:rFonts w:hint="default" w:ascii="Times New Roman" w:hAnsi="Times New Roman" w:eastAsia="方正仿宋_GBK" w:cs="Times New Roman"/>
          <w:color w:val="000000"/>
          <w:sz w:val="24"/>
          <w:szCs w:val="24"/>
          <w:lang w:val="en-US" w:eastAsia="zh-CN"/>
        </w:rPr>
        <w:t>采购项目</w:t>
      </w:r>
      <w:r>
        <w:rPr>
          <w:rFonts w:hint="default" w:ascii="Times New Roman" w:hAnsi="Times New Roman" w:eastAsia="方正仿宋_GBK" w:cs="Times New Roman"/>
          <w:color w:val="000000"/>
          <w:sz w:val="24"/>
          <w:szCs w:val="24"/>
        </w:rPr>
        <w:t>进行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，欢迎具有相关资质且有良好信誉和</w:t>
      </w:r>
      <w:r>
        <w:rPr>
          <w:rFonts w:hint="default" w:ascii="Times New Roman" w:hAnsi="Times New Roman" w:eastAsia="方正仿宋_GBK" w:cs="Times New Roman"/>
          <w:color w:val="000000"/>
          <w:sz w:val="24"/>
          <w:szCs w:val="24"/>
          <w:lang w:val="en-US" w:eastAsia="zh-CN"/>
        </w:rPr>
        <w:t>服务</w:t>
      </w:r>
      <w:r>
        <w:rPr>
          <w:rFonts w:hint="default" w:ascii="Times New Roman" w:hAnsi="Times New Roman" w:eastAsia="方正仿宋_GBK" w:cs="Times New Roman"/>
          <w:color w:val="000000"/>
          <w:sz w:val="24"/>
          <w:szCs w:val="24"/>
        </w:rPr>
        <w:t>能力的供应商参加。</w:t>
      </w:r>
    </w:p>
    <w:bookmarkEnd w:id="0"/>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1" w:name="_Toc5295"/>
      <w:bookmarkStart w:id="2" w:name="_Toc16790"/>
      <w:r>
        <w:rPr>
          <w:rFonts w:hint="default" w:ascii="Times New Roman" w:hAnsi="Times New Roman" w:eastAsia="方正仿宋_GBK" w:cs="Times New Roman"/>
          <w:color w:val="000000"/>
          <w:sz w:val="24"/>
          <w:szCs w:val="24"/>
        </w:rPr>
        <w:t>一、</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bookmarkEnd w:id="1"/>
      <w:bookmarkEnd w:id="2"/>
    </w:p>
    <w:tbl>
      <w:tblPr>
        <w:tblStyle w:val="13"/>
        <w:tblW w:w="7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980"/>
        <w:gridCol w:w="1660"/>
        <w:gridCol w:w="2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713"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53" w:name="_GoBack"/>
            <w:r>
              <w:rPr>
                <w:rFonts w:hint="eastAsia" w:ascii="Times New Roman" w:hAnsi="Times New Roman" w:eastAsia="方正仿宋_GBK" w:cs="Times New Roman"/>
                <w:color w:val="000000"/>
                <w:sz w:val="24"/>
                <w:szCs w:val="24"/>
                <w:highlight w:val="none"/>
                <w:lang w:val="en-US" w:eastAsia="zh-CN"/>
              </w:rPr>
              <w:t>序号</w:t>
            </w:r>
          </w:p>
        </w:tc>
        <w:tc>
          <w:tcPr>
            <w:tcW w:w="1980"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方正仿宋_GBK" w:cs="Times New Roman"/>
                <w:color w:val="000000"/>
                <w:sz w:val="24"/>
                <w:szCs w:val="24"/>
                <w:highlight w:val="none"/>
                <w:lang w:val="en-US" w:eastAsia="zh-CN"/>
              </w:rPr>
              <w:t>耗材名称</w:t>
            </w:r>
          </w:p>
        </w:tc>
        <w:tc>
          <w:tcPr>
            <w:tcW w:w="1660"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924"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71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eastAsia" w:ascii="Times New Roman" w:hAnsi="Times New Roman" w:eastAsia="方正仿宋_GBK" w:cs="Times New Roman"/>
                <w:color w:val="000000"/>
                <w:sz w:val="24"/>
                <w:szCs w:val="24"/>
                <w:highlight w:val="none"/>
                <w:lang w:val="en-US" w:eastAsia="zh-CN"/>
              </w:rPr>
              <w:t>1</w:t>
            </w:r>
          </w:p>
        </w:tc>
        <w:tc>
          <w:tcPr>
            <w:tcW w:w="1980"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清洗效果监测卡</w:t>
            </w:r>
          </w:p>
        </w:tc>
        <w:tc>
          <w:tcPr>
            <w:tcW w:w="1660" w:type="dxa"/>
            <w:vMerge w:val="restart"/>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2924" w:type="dxa"/>
            <w:vMerge w:val="restart"/>
            <w:tcBorders>
              <w:left w:val="single" w:color="auto" w:sz="4" w:space="0"/>
              <w:right w:val="single" w:color="auto" w:sz="4" w:space="0"/>
            </w:tcBorders>
            <w:vAlign w:val="center"/>
          </w:tcPr>
          <w:p>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原则上进行线上采购。        </w:t>
            </w:r>
          </w:p>
          <w:p>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2、集采耗材除外。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71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w:t>
            </w:r>
          </w:p>
        </w:tc>
        <w:tc>
          <w:tcPr>
            <w:tcW w:w="1980"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安碚瓶</w:t>
            </w:r>
          </w:p>
        </w:tc>
        <w:tc>
          <w:tcPr>
            <w:tcW w:w="1660" w:type="dxa"/>
            <w:vMerge w:val="continue"/>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924"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bookmarkEnd w:id="53"/>
    </w:tbl>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二、资金来源</w:t>
      </w:r>
      <w:bookmarkEnd w:id="3"/>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5" w:name="_Toc24964"/>
      <w:bookmarkStart w:id="6" w:name="_Toc530045187"/>
      <w:bookmarkStart w:id="7" w:name="_Toc30975"/>
      <w:r>
        <w:rPr>
          <w:rFonts w:hint="default" w:ascii="Times New Roman" w:hAnsi="Times New Roman" w:eastAsia="方正仿宋_GBK" w:cs="Times New Roman"/>
          <w:color w:val="000000"/>
          <w:sz w:val="24"/>
          <w:szCs w:val="24"/>
        </w:rPr>
        <w:t>三、供应商的资格条件</w:t>
      </w:r>
      <w:bookmarkEnd w:id="5"/>
      <w:bookmarkEnd w:id="6"/>
      <w:bookmarkEnd w:id="7"/>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6178"/>
      <w:bookmarkStart w:id="9" w:name="_Toc9401"/>
      <w:bookmarkStart w:id="10" w:name="_Toc3374"/>
      <w:bookmarkStart w:id="11" w:name="_Toc21930"/>
      <w:bookmarkStart w:id="12" w:name="_Toc11412"/>
      <w:bookmarkStart w:id="13" w:name="_Toc17509"/>
      <w:bookmarkStart w:id="14" w:name="_Toc22548773"/>
      <w:bookmarkStart w:id="15" w:name="_Toc1965"/>
      <w:bookmarkStart w:id="16" w:name="_Toc3976"/>
      <w:bookmarkStart w:id="17" w:name="_Toc26564"/>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四、服务要求</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default" w:ascii="Times New Roman" w:hAnsi="Times New Roman" w:eastAsia="方正仿宋_GBK" w:cs="Times New Roman"/>
          <w:color w:val="000000"/>
          <w:sz w:val="24"/>
          <w:szCs w:val="24"/>
          <w:lang w:val="en-US" w:eastAsia="zh-CN"/>
        </w:rPr>
        <w:t>9</w:t>
      </w:r>
      <w:r>
        <w:rPr>
          <w:rFonts w:hint="default" w:ascii="Times New Roman" w:hAnsi="Times New Roman" w:eastAsia="方正仿宋_GBK" w:cs="Times New Roman"/>
          <w:color w:val="000000"/>
          <w:sz w:val="24"/>
          <w:szCs w:val="24"/>
        </w:rPr>
        <w:t>月</w:t>
      </w:r>
      <w:r>
        <w:rPr>
          <w:rFonts w:hint="default" w:ascii="Times New Roman" w:hAnsi="Times New Roman" w:eastAsia="方正仿宋_GBK" w:cs="Times New Roman"/>
          <w:color w:val="000000"/>
          <w:sz w:val="24"/>
          <w:szCs w:val="24"/>
          <w:lang w:val="en-US" w:eastAsia="zh-CN"/>
        </w:rPr>
        <w:t>2</w:t>
      </w:r>
      <w:r>
        <w:rPr>
          <w:rFonts w:hint="eastAsia" w:ascii="Times New Roman" w:hAnsi="Times New Roman" w:eastAsia="方正仿宋_GBK" w:cs="Times New Roman"/>
          <w:color w:val="000000"/>
          <w:sz w:val="24"/>
          <w:szCs w:val="24"/>
          <w:lang w:val="en-US" w:eastAsia="zh-CN"/>
        </w:rPr>
        <w:t>5</w:t>
      </w:r>
      <w:r>
        <w:rPr>
          <w:rFonts w:hint="default" w:ascii="Times New Roman" w:hAnsi="Times New Roman" w:eastAsia="方正仿宋_GBK" w:cs="Times New Roman"/>
          <w:color w:val="000000"/>
          <w:sz w:val="24"/>
          <w:szCs w:val="24"/>
        </w:rPr>
        <w:t>日）起三个工作日。</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8</w:t>
      </w:r>
      <w:r>
        <w:rPr>
          <w:rFonts w:hint="default" w:ascii="Times New Roman" w:hAnsi="Times New Roman" w:eastAsia="方正仿宋_GBK" w:cs="Times New Roman"/>
          <w:color w:val="000000"/>
          <w:sz w:val="24"/>
          <w:szCs w:val="24"/>
        </w:rPr>
        <w:t>日</w:t>
      </w:r>
      <w:r>
        <w:rPr>
          <w:rFonts w:hint="default" w:ascii="Times New Roman" w:hAnsi="Times New Roman" w:eastAsia="方正仿宋_GBK" w:cs="Times New Roman"/>
          <w:color w:val="000000"/>
          <w:sz w:val="24"/>
          <w:szCs w:val="24"/>
          <w:lang w:val="en-US" w:eastAsia="zh-CN"/>
        </w:rPr>
        <w:t>8:30-12:00、14:30-17:00</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（五）供应商须满足以下二种条件，其投标才被接受：</w:t>
      </w:r>
    </w:p>
    <w:p>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按时递交了响应文件；</w:t>
      </w:r>
    </w:p>
    <w:p>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按时报名签到</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lang w:eastAsia="zh-CN"/>
        </w:rPr>
        <w:t>上发布结果公告。</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bookmarkStart w:id="18" w:name="_Toc6933"/>
      <w:bookmarkStart w:id="19" w:name="_Toc22978"/>
      <w:bookmarkStart w:id="20" w:name="_Toc517367960"/>
      <w:bookmarkStart w:id="21" w:name="_Toc527828387"/>
      <w:bookmarkStart w:id="22" w:name="_Toc13490"/>
      <w:bookmarkStart w:id="23" w:name="_Toc31810"/>
      <w:bookmarkStart w:id="24" w:name="_Toc31639"/>
      <w:bookmarkStart w:id="25" w:name="_Toc517368027"/>
      <w:bookmarkStart w:id="26" w:name="_Toc21862"/>
      <w:bookmarkStart w:id="27" w:name="_Toc8132"/>
      <w:r>
        <w:rPr>
          <w:rFonts w:hint="default" w:ascii="Times New Roman" w:hAnsi="Times New Roman" w:eastAsia="方正仿宋_GBK" w:cs="Times New Roman"/>
          <w:color w:val="000000"/>
          <w:sz w:val="24"/>
          <w:szCs w:val="24"/>
          <w:lang w:val="en-US" w:eastAsia="zh-CN"/>
        </w:rPr>
        <w:t>六</w:t>
      </w:r>
      <w:r>
        <w:rPr>
          <w:rFonts w:hint="default" w:ascii="Times New Roman" w:hAnsi="Times New Roman" w:eastAsia="方正仿宋_GBK" w:cs="Times New Roman"/>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color w:val="000000"/>
          <w:sz w:val="24"/>
          <w:szCs w:val="24"/>
          <w:lang w:val="en-US" w:eastAsia="zh-CN"/>
        </w:rPr>
        <w:t>供应商须知</w:t>
      </w:r>
    </w:p>
    <w:p>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属于重庆药交所医疗器械电子挂牌交易的医用耗材，原则上报价不得高于药交所最低价。</w:t>
      </w:r>
    </w:p>
    <w:p>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响应文件原则上应采用软面订本或胶装方式进行装订，同时编制完整的页码、目录。</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highlight w:val="none"/>
          <w:lang w:val="en-US" w:eastAsia="zh-CN"/>
        </w:rPr>
        <w:t>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服务过程中无论何种原因造成未能满足医院需求达到四次时</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如使用科室投诉产品质量、供货不及时等</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，则供货协议自动终止，同时根据实际情况采取选择上次采购时排名后一位的产品或重新采购的方式进行采购。</w:t>
      </w:r>
    </w:p>
    <w:p>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集采耗材严格按上级规定及医院制度执行，若违规，将取消供货资格。</w:t>
      </w:r>
    </w:p>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28" w:name="_Toc16951"/>
      <w:bookmarkStart w:id="29" w:name="_Toc15317"/>
      <w:bookmarkStart w:id="30" w:name="_Toc527828388"/>
      <w:bookmarkStart w:id="31" w:name="_Toc24167"/>
      <w:bookmarkStart w:id="32" w:name="_Toc517368028"/>
      <w:bookmarkStart w:id="33" w:name="_Toc24060"/>
      <w:bookmarkStart w:id="34" w:name="_Toc1495"/>
      <w:bookmarkStart w:id="35" w:name="_Toc20734"/>
      <w:bookmarkStart w:id="36" w:name="_Toc517367961"/>
      <w:bookmarkStart w:id="37" w:name="_Toc2188"/>
      <w:r>
        <w:rPr>
          <w:rFonts w:hint="default" w:ascii="Times New Roman" w:hAnsi="Times New Roman" w:eastAsia="方正仿宋_GBK" w:cs="Times New Roman"/>
          <w:color w:val="000000"/>
          <w:sz w:val="24"/>
          <w:szCs w:val="24"/>
          <w:lang w:val="en-US" w:eastAsia="zh-CN"/>
        </w:rPr>
        <w:t>七</w:t>
      </w:r>
      <w:r>
        <w:rPr>
          <w:rFonts w:hint="default" w:ascii="Times New Roman" w:hAnsi="Times New Roman" w:eastAsia="方正仿宋_GBK" w:cs="Times New Roman"/>
          <w:color w:val="000000"/>
          <w:sz w:val="24"/>
          <w:szCs w:val="24"/>
        </w:rPr>
        <w:t>、</w:t>
      </w:r>
      <w:bookmarkEnd w:id="28"/>
      <w:r>
        <w:rPr>
          <w:rFonts w:hint="default" w:ascii="Times New Roman" w:hAnsi="Times New Roman" w:eastAsia="方正仿宋_GBK" w:cs="Times New Roman"/>
          <w:color w:val="000000"/>
          <w:sz w:val="24"/>
          <w:szCs w:val="24"/>
        </w:rPr>
        <w:t>其它有关规定</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“重庆市急救医疗中心”网站（www.cq120.com.cn）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38" w:name="_Toc16527"/>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pPr>
        <w:pStyle w:val="5"/>
        <w:jc w:val="center"/>
        <w:rPr>
          <w:rFonts w:hint="default" w:ascii="Times New Roman" w:hAnsi="Times New Roman" w:eastAsia="方正仿宋_GBK" w:cs="Times New Roman"/>
          <w:b/>
          <w:bCs/>
          <w:sz w:val="28"/>
          <w:szCs w:val="32"/>
          <w:lang w:val="en-US" w:eastAsia="zh-CN"/>
        </w:rPr>
      </w:pPr>
    </w:p>
    <w:p>
      <w:pPr>
        <w:pStyle w:val="5"/>
        <w:jc w:val="center"/>
        <w:rPr>
          <w:rFonts w:hint="default" w:ascii="Times New Roman" w:hAnsi="Times New Roman" w:eastAsia="方正仿宋_GBK" w:cs="Times New Roman"/>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8"/>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pPr>
        <w:spacing w:line="400" w:lineRule="exact"/>
        <w:ind w:firstLine="480" w:firstLineChars="200"/>
        <w:rPr>
          <w:rFonts w:hint="default" w:ascii="Times New Roman" w:hAnsi="Times New Roman" w:eastAsia="方正仿宋_GBK" w:cs="Times New Roman"/>
          <w:sz w:val="24"/>
          <w:szCs w:val="24"/>
        </w:rPr>
      </w:pPr>
    </w:p>
    <w:p>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pPr>
        <w:snapToGrid w:val="0"/>
        <w:spacing w:line="500" w:lineRule="exact"/>
        <w:ind w:firstLine="480" w:firstLineChars="200"/>
        <w:rPr>
          <w:rFonts w:hint="default" w:ascii="Times New Roman" w:hAnsi="Times New Roman" w:eastAsia="方正仿宋_GBK" w:cs="Times New Roman"/>
          <w:sz w:val="24"/>
          <w:szCs w:val="28"/>
        </w:rPr>
      </w:pPr>
    </w:p>
    <w:p>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pPr>
        <w:spacing w:line="360" w:lineRule="auto"/>
        <w:ind w:right="480" w:firstLine="6480" w:firstLineChars="2700"/>
        <w:rPr>
          <w:rFonts w:hint="default" w:ascii="Times New Roman" w:hAnsi="Times New Roman" w:eastAsia="方正仿宋_GBK" w:cs="Times New Roman"/>
          <w:sz w:val="24"/>
          <w:szCs w:val="24"/>
        </w:rPr>
      </w:pPr>
    </w:p>
    <w:p>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39" w:name="_Toc342913421"/>
      <w:bookmarkStart w:id="40" w:name="_Toc313888362"/>
      <w:bookmarkStart w:id="41" w:name="_Toc313008358"/>
      <w:bookmarkStart w:id="42" w:name="_Toc2082"/>
      <w:bookmarkStart w:id="43" w:name="_Toc65660382"/>
      <w:bookmarkStart w:id="44" w:name="_Toc20162"/>
      <w:bookmarkStart w:id="45" w:name="_Toc106034662"/>
      <w:r>
        <w:rPr>
          <w:rFonts w:hint="default" w:ascii="Times New Roman" w:hAnsi="Times New Roman" w:eastAsia="方正仿宋_GBK" w:cs="Times New Roman"/>
          <w:sz w:val="24"/>
          <w:lang w:val="en-US" w:eastAsia="zh-CN"/>
        </w:rPr>
        <w:t>二</w:t>
      </w:r>
      <w:r>
        <w:rPr>
          <w:rFonts w:hint="default" w:ascii="Times New Roman" w:hAnsi="Times New Roman" w:eastAsia="方正仿宋_GBK" w:cs="Times New Roman"/>
          <w:sz w:val="24"/>
        </w:rPr>
        <w:t>、</w:t>
      </w:r>
      <w:bookmarkEnd w:id="39"/>
      <w:bookmarkEnd w:id="40"/>
      <w:bookmarkEnd w:id="41"/>
      <w:r>
        <w:rPr>
          <w:rFonts w:hint="default" w:ascii="Times New Roman" w:hAnsi="Times New Roman" w:eastAsia="方正仿宋_GBK" w:cs="Times New Roman"/>
          <w:sz w:val="24"/>
        </w:rPr>
        <w:t>资格条件及其他</w:t>
      </w:r>
      <w:bookmarkEnd w:id="42"/>
      <w:bookmarkEnd w:id="43"/>
      <w:bookmarkEnd w:id="44"/>
      <w:bookmarkEnd w:id="45"/>
      <w:bookmarkStart w:id="46" w:name="_Toc313008359"/>
      <w:bookmarkStart w:id="47" w:name="_Toc313888363"/>
      <w:bookmarkStart w:id="48" w:name="_Toc342913422"/>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pPr>
        <w:tabs>
          <w:tab w:val="left" w:pos="6300"/>
        </w:tabs>
        <w:snapToGrid w:val="0"/>
        <w:spacing w:line="500" w:lineRule="exact"/>
        <w:ind w:firstLine="570"/>
        <w:rPr>
          <w:rFonts w:hint="default" w:ascii="Times New Roman" w:hAnsi="Times New Roman" w:eastAsia="方正仿宋_GBK" w:cs="Times New Roman"/>
          <w:sz w:val="24"/>
          <w:szCs w:val="24"/>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pPr>
        <w:tabs>
          <w:tab w:val="left" w:pos="6300"/>
        </w:tabs>
        <w:snapToGrid w:val="0"/>
        <w:spacing w:line="500" w:lineRule="exact"/>
        <w:ind w:firstLine="570"/>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pPr>
        <w:tabs>
          <w:tab w:val="left" w:pos="6300"/>
        </w:tabs>
        <w:snapToGrid w:val="0"/>
        <w:spacing w:line="530" w:lineRule="exact"/>
        <w:rPr>
          <w:rFonts w:hint="default" w:ascii="Times New Roman" w:hAnsi="Times New Roman" w:cs="Times New Roman"/>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pPr>
        <w:widowControl/>
        <w:numPr>
          <w:ilvl w:val="0"/>
          <w:numId w:val="11"/>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11"/>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pPr>
        <w:widowControl/>
        <w:spacing w:line="400" w:lineRule="exact"/>
        <w:ind w:firstLine="480" w:firstLineChars="200"/>
        <w:jc w:val="left"/>
        <w:rPr>
          <w:rFonts w:hint="default" w:ascii="Times New Roman" w:hAnsi="Times New Roman" w:eastAsia="方正仿宋_GBK" w:cs="Times New Roman"/>
          <w:sz w:val="24"/>
          <w:szCs w:val="24"/>
        </w:rPr>
      </w:pPr>
    </w:p>
    <w:p>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49" w:name="_Toc106034663"/>
      <w:bookmarkStart w:id="50" w:name="_Toc65660383"/>
      <w:bookmarkStart w:id="51" w:name="_Toc17010"/>
      <w:bookmarkStart w:id="52" w:name="_Toc2080"/>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rPr>
        <w:t>、</w:t>
      </w:r>
      <w:bookmarkEnd w:id="46"/>
      <w:bookmarkEnd w:id="47"/>
      <w:bookmarkEnd w:id="48"/>
      <w:r>
        <w:rPr>
          <w:rFonts w:hint="default" w:ascii="Times New Roman" w:hAnsi="Times New Roman" w:eastAsia="方正仿宋_GBK" w:cs="Times New Roman"/>
          <w:sz w:val="24"/>
        </w:rPr>
        <w:t>其他资料</w:t>
      </w:r>
      <w:bookmarkEnd w:id="49"/>
      <w:bookmarkEnd w:id="50"/>
      <w:bookmarkEnd w:id="51"/>
      <w:bookmarkEnd w:id="52"/>
    </w:p>
    <w:p>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pPr>
        <w:pStyle w:val="6"/>
        <w:rPr>
          <w:rFonts w:hint="default" w:ascii="Times New Roman" w:hAnsi="Times New Roman" w:cs="Times New Roman"/>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pPr>
        <w:pStyle w:val="6"/>
        <w:rPr>
          <w:rFonts w:hint="default" w:ascii="Times New Roman" w:hAnsi="Times New Roman" w:cs="Times New Roman"/>
        </w:rPr>
      </w:pPr>
      <w:r>
        <w:rPr>
          <w:rFonts w:hint="default" w:ascii="Times New Roman" w:hAnsi="Times New Roman" w:cs="Times New Roman"/>
        </w:rPr>
        <w:t>　　　</w:t>
      </w:r>
    </w:p>
    <w:p>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pPr>
        <w:pStyle w:val="8"/>
        <w:numPr>
          <w:ilvl w:val="0"/>
          <w:numId w:val="0"/>
        </w:numPr>
        <w:spacing w:line="400" w:lineRule="exact"/>
        <w:rPr>
          <w:rFonts w:hint="default" w:ascii="Times New Roman" w:hAnsi="Times New Roman" w:eastAsia="方正仿宋_GBK" w:cs="Times New Roman"/>
          <w:sz w:val="24"/>
          <w:szCs w:val="24"/>
        </w:rPr>
      </w:pPr>
    </w:p>
    <w:p>
      <w:pPr>
        <w:pStyle w:val="8"/>
        <w:numPr>
          <w:ilvl w:val="0"/>
          <w:numId w:val="0"/>
        </w:numPr>
        <w:spacing w:line="400" w:lineRule="exact"/>
        <w:rPr>
          <w:rFonts w:hint="default" w:ascii="Times New Roman" w:hAnsi="Times New Roman" w:eastAsia="方正仿宋_GBK" w:cs="Times New Roman"/>
          <w:sz w:val="24"/>
          <w:szCs w:val="24"/>
        </w:rPr>
      </w:pPr>
    </w:p>
    <w:p>
      <w:pPr>
        <w:pStyle w:val="8"/>
        <w:numPr>
          <w:ilvl w:val="0"/>
          <w:numId w:val="0"/>
        </w:numPr>
        <w:spacing w:line="400" w:lineRule="exact"/>
        <w:rPr>
          <w:rFonts w:hint="default" w:ascii="Times New Roman" w:hAnsi="Times New Roman" w:eastAsia="方正仿宋_GBK" w:cs="Times New Roman"/>
          <w:sz w:val="24"/>
          <w:szCs w:val="24"/>
        </w:rPr>
      </w:pP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5136B8BB-5F8C-4E69-9794-D13D3474AA9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ADE60A"/>
    <w:multiLevelType w:val="singleLevel"/>
    <w:tmpl w:val="93ADE60A"/>
    <w:lvl w:ilvl="0" w:tentative="0">
      <w:start w:val="1"/>
      <w:numFmt w:val="decimal"/>
      <w:suff w:val="nothing"/>
      <w:lvlText w:val="%1．"/>
      <w:lvlJc w:val="left"/>
      <w:pPr>
        <w:ind w:left="0" w:firstLine="400"/>
      </w:pPr>
      <w:rPr>
        <w:rFonts w:hint="default"/>
      </w:rPr>
    </w:lvl>
  </w:abstractNum>
  <w:abstractNum w:abstractNumId="1">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2">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3">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4">
    <w:nsid w:val="0317E6E0"/>
    <w:multiLevelType w:val="singleLevel"/>
    <w:tmpl w:val="0317E6E0"/>
    <w:lvl w:ilvl="0" w:tentative="0">
      <w:start w:val="1"/>
      <w:numFmt w:val="chineseCounting"/>
      <w:suff w:val="nothing"/>
      <w:lvlText w:val="%1、"/>
      <w:lvlJc w:val="left"/>
      <w:rPr>
        <w:rFonts w:hint="eastAsia"/>
      </w:rPr>
    </w:lvl>
  </w:abstractNum>
  <w:abstractNum w:abstractNumId="5">
    <w:nsid w:val="09B23C20"/>
    <w:multiLevelType w:val="singleLevel"/>
    <w:tmpl w:val="09B23C20"/>
    <w:lvl w:ilvl="0" w:tentative="0">
      <w:start w:val="1"/>
      <w:numFmt w:val="decimal"/>
      <w:suff w:val="nothing"/>
      <w:lvlText w:val="%1、"/>
      <w:lvlJc w:val="left"/>
    </w:lvl>
  </w:abstractNum>
  <w:abstractNum w:abstractNumId="6">
    <w:nsid w:val="0B5719F6"/>
    <w:multiLevelType w:val="singleLevel"/>
    <w:tmpl w:val="0B5719F6"/>
    <w:lvl w:ilvl="0" w:tentative="0">
      <w:start w:val="1"/>
      <w:numFmt w:val="decimal"/>
      <w:suff w:val="nothing"/>
      <w:lvlText w:val="%1．"/>
      <w:lvlJc w:val="left"/>
      <w:pPr>
        <w:ind w:left="0" w:firstLine="400"/>
      </w:pPr>
      <w:rPr>
        <w:rFonts w:hint="default"/>
      </w:rPr>
    </w:lvl>
  </w:abstractNum>
  <w:abstractNum w:abstractNumId="7">
    <w:nsid w:val="1C8CFFC8"/>
    <w:multiLevelType w:val="singleLevel"/>
    <w:tmpl w:val="1C8CFFC8"/>
    <w:lvl w:ilvl="0" w:tentative="0">
      <w:start w:val="1"/>
      <w:numFmt w:val="decimal"/>
      <w:suff w:val="nothing"/>
      <w:lvlText w:val="%1．"/>
      <w:lvlJc w:val="left"/>
      <w:pPr>
        <w:ind w:left="0" w:firstLine="400"/>
      </w:pPr>
      <w:rPr>
        <w:rFonts w:hint="default"/>
      </w:rPr>
    </w:lvl>
  </w:abstractNum>
  <w:abstractNum w:abstractNumId="8">
    <w:nsid w:val="2B3B8C58"/>
    <w:multiLevelType w:val="singleLevel"/>
    <w:tmpl w:val="2B3B8C58"/>
    <w:lvl w:ilvl="0" w:tentative="0">
      <w:start w:val="5"/>
      <w:numFmt w:val="chineseCounting"/>
      <w:suff w:val="nothing"/>
      <w:lvlText w:val="（%1）"/>
      <w:lvlJc w:val="left"/>
      <w:rPr>
        <w:rFonts w:hint="eastAsia"/>
      </w:rPr>
    </w:lvl>
  </w:abstractNum>
  <w:abstractNum w:abstractNumId="9">
    <w:nsid w:val="2EE1C371"/>
    <w:multiLevelType w:val="singleLevel"/>
    <w:tmpl w:val="2EE1C371"/>
    <w:lvl w:ilvl="0" w:tentative="0">
      <w:start w:val="1"/>
      <w:numFmt w:val="decimal"/>
      <w:suff w:val="nothing"/>
      <w:lvlText w:val="%1．"/>
      <w:lvlJc w:val="left"/>
      <w:pPr>
        <w:ind w:left="0" w:firstLine="400"/>
      </w:pPr>
      <w:rPr>
        <w:rFonts w:hint="default"/>
      </w:rPr>
    </w:lvl>
  </w:abstractNum>
  <w:abstractNum w:abstractNumId="10">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5"/>
  </w:num>
  <w:num w:numId="2">
    <w:abstractNumId w:val="3"/>
  </w:num>
  <w:num w:numId="3">
    <w:abstractNumId w:val="2"/>
  </w:num>
  <w:num w:numId="4">
    <w:abstractNumId w:val="7"/>
  </w:num>
  <w:num w:numId="5">
    <w:abstractNumId w:val="6"/>
  </w:num>
  <w:num w:numId="6">
    <w:abstractNumId w:val="0"/>
  </w:num>
  <w:num w:numId="7">
    <w:abstractNumId w:val="9"/>
  </w:num>
  <w:num w:numId="8">
    <w:abstractNumId w:val="4"/>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7E7D19"/>
    <w:rsid w:val="02BB660D"/>
    <w:rsid w:val="02CE3596"/>
    <w:rsid w:val="03FD66AC"/>
    <w:rsid w:val="043D741E"/>
    <w:rsid w:val="05084823"/>
    <w:rsid w:val="055E66C3"/>
    <w:rsid w:val="07175A35"/>
    <w:rsid w:val="08041D76"/>
    <w:rsid w:val="09655DC8"/>
    <w:rsid w:val="0A8C3C5A"/>
    <w:rsid w:val="0B145FD1"/>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2FB1E07"/>
    <w:rsid w:val="133F76F0"/>
    <w:rsid w:val="134E6759"/>
    <w:rsid w:val="13704662"/>
    <w:rsid w:val="13814630"/>
    <w:rsid w:val="13AE356E"/>
    <w:rsid w:val="13DF3FC3"/>
    <w:rsid w:val="14A409DB"/>
    <w:rsid w:val="15625621"/>
    <w:rsid w:val="15F441A8"/>
    <w:rsid w:val="16A60816"/>
    <w:rsid w:val="17D36533"/>
    <w:rsid w:val="17F26FAE"/>
    <w:rsid w:val="18492EA2"/>
    <w:rsid w:val="18687FAE"/>
    <w:rsid w:val="19072D07"/>
    <w:rsid w:val="19804882"/>
    <w:rsid w:val="198A3FF9"/>
    <w:rsid w:val="1AAE21D3"/>
    <w:rsid w:val="1AC856F5"/>
    <w:rsid w:val="1BD877D9"/>
    <w:rsid w:val="1D54216D"/>
    <w:rsid w:val="1E27255E"/>
    <w:rsid w:val="1E3356E8"/>
    <w:rsid w:val="1E44427C"/>
    <w:rsid w:val="1EDB1A02"/>
    <w:rsid w:val="1F034475"/>
    <w:rsid w:val="1FD86743"/>
    <w:rsid w:val="1FF163C8"/>
    <w:rsid w:val="201D7DBD"/>
    <w:rsid w:val="21546A66"/>
    <w:rsid w:val="21693711"/>
    <w:rsid w:val="216A0C90"/>
    <w:rsid w:val="226E4C36"/>
    <w:rsid w:val="22AE2CBA"/>
    <w:rsid w:val="22E77460"/>
    <w:rsid w:val="233C7F0F"/>
    <w:rsid w:val="23F95523"/>
    <w:rsid w:val="240B2D63"/>
    <w:rsid w:val="2437495C"/>
    <w:rsid w:val="259B2A11"/>
    <w:rsid w:val="26030B51"/>
    <w:rsid w:val="260852E0"/>
    <w:rsid w:val="26A83F7A"/>
    <w:rsid w:val="27906EE8"/>
    <w:rsid w:val="27B842BA"/>
    <w:rsid w:val="280E56C1"/>
    <w:rsid w:val="29396A00"/>
    <w:rsid w:val="2964780D"/>
    <w:rsid w:val="29CE6BF9"/>
    <w:rsid w:val="2AC57FFB"/>
    <w:rsid w:val="2AED7E1E"/>
    <w:rsid w:val="2AF9352D"/>
    <w:rsid w:val="2C041E33"/>
    <w:rsid w:val="2C516D69"/>
    <w:rsid w:val="2C695F59"/>
    <w:rsid w:val="2D7524E6"/>
    <w:rsid w:val="2E8928E3"/>
    <w:rsid w:val="2F3A0C90"/>
    <w:rsid w:val="2F4D56BE"/>
    <w:rsid w:val="2F5A5EDA"/>
    <w:rsid w:val="2FF620A4"/>
    <w:rsid w:val="305C705B"/>
    <w:rsid w:val="30BD408D"/>
    <w:rsid w:val="327114A6"/>
    <w:rsid w:val="34192013"/>
    <w:rsid w:val="34DF325D"/>
    <w:rsid w:val="3542559A"/>
    <w:rsid w:val="35683252"/>
    <w:rsid w:val="356E302D"/>
    <w:rsid w:val="35B65708"/>
    <w:rsid w:val="36170071"/>
    <w:rsid w:val="365F5254"/>
    <w:rsid w:val="36643853"/>
    <w:rsid w:val="36825B67"/>
    <w:rsid w:val="371210D2"/>
    <w:rsid w:val="38793253"/>
    <w:rsid w:val="388A1731"/>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06185A"/>
    <w:rsid w:val="3E752DC9"/>
    <w:rsid w:val="4047556D"/>
    <w:rsid w:val="407A652F"/>
    <w:rsid w:val="41A53F56"/>
    <w:rsid w:val="42C039BD"/>
    <w:rsid w:val="43FA01AB"/>
    <w:rsid w:val="443474E0"/>
    <w:rsid w:val="44A168CC"/>
    <w:rsid w:val="44A17DC5"/>
    <w:rsid w:val="44A8542F"/>
    <w:rsid w:val="44E95A32"/>
    <w:rsid w:val="451021B3"/>
    <w:rsid w:val="4684760A"/>
    <w:rsid w:val="47217087"/>
    <w:rsid w:val="472E3198"/>
    <w:rsid w:val="478A5995"/>
    <w:rsid w:val="49664A06"/>
    <w:rsid w:val="4A657908"/>
    <w:rsid w:val="4B046ED0"/>
    <w:rsid w:val="4B9C3509"/>
    <w:rsid w:val="4B9D04D7"/>
    <w:rsid w:val="4BA43FBA"/>
    <w:rsid w:val="4C29250E"/>
    <w:rsid w:val="4C582C53"/>
    <w:rsid w:val="4CD82061"/>
    <w:rsid w:val="4D220017"/>
    <w:rsid w:val="4D433F84"/>
    <w:rsid w:val="4D9573CB"/>
    <w:rsid w:val="4DA229BC"/>
    <w:rsid w:val="4F970559"/>
    <w:rsid w:val="509D5C5F"/>
    <w:rsid w:val="50AA111F"/>
    <w:rsid w:val="51E01C21"/>
    <w:rsid w:val="52F56DBE"/>
    <w:rsid w:val="53400388"/>
    <w:rsid w:val="54D9161F"/>
    <w:rsid w:val="54DA7145"/>
    <w:rsid w:val="550B0ED4"/>
    <w:rsid w:val="550D12C8"/>
    <w:rsid w:val="555172CD"/>
    <w:rsid w:val="56210721"/>
    <w:rsid w:val="566E5A98"/>
    <w:rsid w:val="56D6766D"/>
    <w:rsid w:val="56DC505C"/>
    <w:rsid w:val="56E919B9"/>
    <w:rsid w:val="57CB0088"/>
    <w:rsid w:val="586E02D0"/>
    <w:rsid w:val="58C6010C"/>
    <w:rsid w:val="596468E9"/>
    <w:rsid w:val="596D67DA"/>
    <w:rsid w:val="59ED6194"/>
    <w:rsid w:val="5B395A82"/>
    <w:rsid w:val="5B755C47"/>
    <w:rsid w:val="5B822532"/>
    <w:rsid w:val="5D24510E"/>
    <w:rsid w:val="5E3B6EA6"/>
    <w:rsid w:val="5E47584B"/>
    <w:rsid w:val="5EC809F4"/>
    <w:rsid w:val="5F1818BF"/>
    <w:rsid w:val="5F2F1888"/>
    <w:rsid w:val="5F6A3B63"/>
    <w:rsid w:val="5F904FD0"/>
    <w:rsid w:val="5FC058B5"/>
    <w:rsid w:val="603F4A02"/>
    <w:rsid w:val="60C9031A"/>
    <w:rsid w:val="61834DEC"/>
    <w:rsid w:val="61AB3DF6"/>
    <w:rsid w:val="62AC472E"/>
    <w:rsid w:val="64434207"/>
    <w:rsid w:val="644A5BFB"/>
    <w:rsid w:val="646D3B32"/>
    <w:rsid w:val="646E458C"/>
    <w:rsid w:val="64713D93"/>
    <w:rsid w:val="64C85426"/>
    <w:rsid w:val="64CF0321"/>
    <w:rsid w:val="660364FC"/>
    <w:rsid w:val="66426D68"/>
    <w:rsid w:val="666B22F3"/>
    <w:rsid w:val="669453A6"/>
    <w:rsid w:val="66D04197"/>
    <w:rsid w:val="66EF4CD2"/>
    <w:rsid w:val="672804FC"/>
    <w:rsid w:val="675021EA"/>
    <w:rsid w:val="67991669"/>
    <w:rsid w:val="69426A8C"/>
    <w:rsid w:val="6A870820"/>
    <w:rsid w:val="6A8D37D7"/>
    <w:rsid w:val="6BA36B5C"/>
    <w:rsid w:val="6C1F3525"/>
    <w:rsid w:val="6C2F6015"/>
    <w:rsid w:val="6DC522E8"/>
    <w:rsid w:val="6EFD7139"/>
    <w:rsid w:val="6EFF2DD3"/>
    <w:rsid w:val="70054579"/>
    <w:rsid w:val="708B4D5C"/>
    <w:rsid w:val="7107171B"/>
    <w:rsid w:val="723A6707"/>
    <w:rsid w:val="72C377F4"/>
    <w:rsid w:val="73B21561"/>
    <w:rsid w:val="73EA2176"/>
    <w:rsid w:val="746C560B"/>
    <w:rsid w:val="74B56105"/>
    <w:rsid w:val="75536960"/>
    <w:rsid w:val="759977E2"/>
    <w:rsid w:val="761E6A3A"/>
    <w:rsid w:val="770F5F97"/>
    <w:rsid w:val="785D02B4"/>
    <w:rsid w:val="796F0EC4"/>
    <w:rsid w:val="799A3CB5"/>
    <w:rsid w:val="7AA15452"/>
    <w:rsid w:val="7B5D7B47"/>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4366</Words>
  <Characters>4572</Characters>
  <Lines>12</Lines>
  <Paragraphs>3</Paragraphs>
  <TotalTime>0</TotalTime>
  <ScaleCrop>false</ScaleCrop>
  <LinksUpToDate>false</LinksUpToDate>
  <CharactersWithSpaces>5362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2024-09-25T05:43:52Z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