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设备配套耗材及其它类医用耗材常规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00FF1B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w:t>
      </w:r>
      <w:r>
        <w:rPr>
          <w:rFonts w:hint="default"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下列产品发布采购公告</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因递交响应文件供应商不足三家，采购终止。现发布第</w:t>
      </w:r>
      <w:r>
        <w:rPr>
          <w:rFonts w:hint="eastAsia"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val="en-US" w:eastAsia="zh-CN"/>
        </w:rPr>
        <w:t>次采购公告，</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696"/>
        <w:gridCol w:w="2910"/>
        <w:gridCol w:w="1710"/>
        <w:gridCol w:w="256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69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910"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配套设备型号及说明</w:t>
            </w:r>
          </w:p>
        </w:tc>
        <w:tc>
          <w:tcPr>
            <w:tcW w:w="1710"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56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69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角膜电极</w:t>
            </w:r>
          </w:p>
        </w:tc>
        <w:tc>
          <w:tcPr>
            <w:tcW w:w="2910" w:type="dxa"/>
            <w:tcBorders>
              <w:left w:val="single" w:color="auto" w:sz="4" w:space="0"/>
              <w:right w:val="single" w:color="auto" w:sz="4" w:space="0"/>
            </w:tcBorders>
            <w:vAlign w:val="center"/>
          </w:tcPr>
          <w:p w14:paraId="7E8E40AA">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视觉电生理仪</w:t>
            </w:r>
          </w:p>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（重庆国特GT-2008V-IV）</w:t>
            </w:r>
          </w:p>
        </w:tc>
        <w:tc>
          <w:tcPr>
            <w:tcW w:w="1710"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564" w:type="dxa"/>
            <w:vMerge w:val="restart"/>
            <w:tcBorders>
              <w:left w:val="single" w:color="auto" w:sz="4" w:space="0"/>
              <w:right w:val="single" w:color="auto" w:sz="4" w:space="0"/>
            </w:tcBorders>
            <w:vAlign w:val="center"/>
          </w:tcPr>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原则上线上采购。        </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F52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89229C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696" w:type="dxa"/>
            <w:tcBorders>
              <w:left w:val="single" w:color="auto" w:sz="4" w:space="0"/>
              <w:right w:val="single" w:color="auto" w:sz="4" w:space="0"/>
            </w:tcBorders>
            <w:vAlign w:val="center"/>
          </w:tcPr>
          <w:p w14:paraId="0ADB7A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微型针式打印机色带架(墨带、打印纸)</w:t>
            </w:r>
          </w:p>
        </w:tc>
        <w:tc>
          <w:tcPr>
            <w:tcW w:w="2910" w:type="dxa"/>
            <w:tcBorders>
              <w:left w:val="single" w:color="auto" w:sz="4" w:space="0"/>
              <w:right w:val="single" w:color="auto" w:sz="4" w:space="0"/>
            </w:tcBorders>
            <w:vAlign w:val="center"/>
          </w:tcPr>
          <w:p w14:paraId="3736BEA9">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过氧化氢低温等离子体灭菌器</w:t>
            </w:r>
          </w:p>
          <w:p w14:paraId="7E45320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（老肯 LK/KS150-A1）</w:t>
            </w:r>
          </w:p>
        </w:tc>
        <w:tc>
          <w:tcPr>
            <w:tcW w:w="1710" w:type="dxa"/>
            <w:vMerge w:val="continue"/>
            <w:tcBorders>
              <w:left w:val="single" w:color="auto" w:sz="4" w:space="0"/>
              <w:right w:val="single" w:color="auto" w:sz="4" w:space="0"/>
            </w:tcBorders>
            <w:vAlign w:val="center"/>
          </w:tcPr>
          <w:p w14:paraId="580DC248">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564" w:type="dxa"/>
            <w:vMerge w:val="continue"/>
            <w:tcBorders>
              <w:left w:val="single" w:color="auto" w:sz="4" w:space="0"/>
              <w:right w:val="single" w:color="auto" w:sz="4" w:space="0"/>
            </w:tcBorders>
            <w:vAlign w:val="center"/>
          </w:tcPr>
          <w:p w14:paraId="115E7D6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3374"/>
      <w:bookmarkStart w:id="10" w:name="_Toc11412"/>
      <w:bookmarkStart w:id="11" w:name="_Toc17509"/>
      <w:bookmarkStart w:id="12" w:name="_Toc3976"/>
      <w:bookmarkStart w:id="13" w:name="_Toc1965"/>
      <w:bookmarkStart w:id="14" w:name="_Toc26564"/>
      <w:bookmarkStart w:id="15" w:name="_Toc22548773"/>
      <w:bookmarkStart w:id="16" w:name="_Toc6178"/>
      <w:bookmarkStart w:id="17" w:name="_Toc9401"/>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6962697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r>
        <w:rPr>
          <w:rFonts w:hint="default" w:ascii="Times New Roman" w:hAnsi="Times New Roman" w:eastAsia="方正仿宋_GBK" w:cs="Times New Roman"/>
          <w:color w:val="000000"/>
          <w:sz w:val="24"/>
          <w:szCs w:val="24"/>
        </w:rPr>
        <w:t>日）起三个工作日。</w:t>
      </w:r>
    </w:p>
    <w:p w14:paraId="2D951F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20</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069B00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D33EA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1B8B7CA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bookmarkStart w:id="53" w:name="_GoBack"/>
      <w:bookmarkEnd w:id="53"/>
    </w:p>
    <w:p w14:paraId="46DA1AA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2AC52C5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450AD71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31639"/>
      <w:bookmarkStart w:id="19" w:name="_Toc6933"/>
      <w:bookmarkStart w:id="20" w:name="_Toc22978"/>
      <w:bookmarkStart w:id="21" w:name="_Toc13490"/>
      <w:bookmarkStart w:id="22" w:name="_Toc8132"/>
      <w:bookmarkStart w:id="23" w:name="_Toc517368027"/>
      <w:bookmarkStart w:id="24" w:name="_Toc527828387"/>
      <w:bookmarkStart w:id="25" w:name="_Toc21862"/>
      <w:bookmarkStart w:id="26" w:name="_Toc517367960"/>
      <w:bookmarkStart w:id="27" w:name="_Toc3181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8028"/>
      <w:bookmarkStart w:id="30" w:name="_Toc24060"/>
      <w:bookmarkStart w:id="31" w:name="_Toc24167"/>
      <w:bookmarkStart w:id="32" w:name="_Toc1495"/>
      <w:bookmarkStart w:id="33" w:name="_Toc20734"/>
      <w:bookmarkStart w:id="34" w:name="_Toc15317"/>
      <w:bookmarkStart w:id="35" w:name="_Toc527828388"/>
      <w:bookmarkStart w:id="36" w:name="_Toc517367961"/>
      <w:bookmarkStart w:id="37" w:name="_Toc21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678753D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3EA2907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5A9DE761">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42913421"/>
      <w:bookmarkStart w:id="41" w:name="_Toc313888362"/>
      <w:bookmarkStart w:id="42" w:name="_Toc65660382"/>
      <w:bookmarkStart w:id="43" w:name="_Toc20162"/>
      <w:bookmarkStart w:id="44" w:name="_Toc20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008359"/>
      <w:bookmarkStart w:id="48"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06034663"/>
      <w:bookmarkStart w:id="50" w:name="_Toc2080"/>
      <w:bookmarkStart w:id="51" w:name="_Toc6566038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7605E3E-DFD0-4128-8BEB-2CCBA0C3A0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226920"/>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2A75BE"/>
    <w:rsid w:val="16A60816"/>
    <w:rsid w:val="17D36533"/>
    <w:rsid w:val="17F26FAE"/>
    <w:rsid w:val="18492EA2"/>
    <w:rsid w:val="18687FAE"/>
    <w:rsid w:val="19072D07"/>
    <w:rsid w:val="19804882"/>
    <w:rsid w:val="198A3FF9"/>
    <w:rsid w:val="1AAE21D3"/>
    <w:rsid w:val="1AC856F5"/>
    <w:rsid w:val="1B29740D"/>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70F5F97"/>
    <w:rsid w:val="785D02B4"/>
    <w:rsid w:val="796F0EC4"/>
    <w:rsid w:val="799A3CB5"/>
    <w:rsid w:val="7AA15452"/>
    <w:rsid w:val="7B5D7B47"/>
    <w:rsid w:val="7B8D1379"/>
    <w:rsid w:val="7B91113D"/>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4422</Words>
  <Characters>4644</Characters>
  <Lines>12</Lines>
  <Paragraphs>3</Paragraphs>
  <TotalTime>1</TotalTime>
  <ScaleCrop>false</ScaleCrop>
  <LinksUpToDate>false</LinksUpToDate>
  <CharactersWithSpaces>5435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2025-01-14T08:49:08Z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