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康复设备一批采购文件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医院康复设备一批采购项目</w:t>
      </w:r>
      <w:r>
        <w:rPr>
          <w:rFonts w:hint="eastAsia" w:ascii="方正仿宋_GBK" w:hAnsi="方正仿宋_GBK" w:eastAsia="方正仿宋_GBK" w:cs="方正仿宋_GBK"/>
          <w:color w:val="000000"/>
          <w:sz w:val="24"/>
          <w:szCs w:val="24"/>
        </w:rPr>
        <w:t>进行谈判，欢迎具有相关资质且有良好信誉和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rPr>
        <w:t>一、谈判内容</w:t>
      </w:r>
      <w:bookmarkEnd w:id="1"/>
      <w:bookmarkEnd w:id="2"/>
    </w:p>
    <w:tbl>
      <w:tblPr>
        <w:tblStyle w:val="13"/>
        <w:tblW w:w="9562" w:type="dxa"/>
        <w:jc w:val="center"/>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69"/>
        <w:gridCol w:w="2491"/>
        <w:gridCol w:w="442"/>
        <w:gridCol w:w="1368"/>
        <w:gridCol w:w="1083"/>
        <w:gridCol w:w="127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5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序号</w:t>
            </w:r>
          </w:p>
        </w:tc>
        <w:tc>
          <w:tcPr>
            <w:tcW w:w="1069"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2491"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w:t>
            </w:r>
          </w:p>
        </w:tc>
        <w:tc>
          <w:tcPr>
            <w:tcW w:w="442"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数量</w:t>
            </w:r>
          </w:p>
        </w:tc>
        <w:tc>
          <w:tcPr>
            <w:tcW w:w="1368"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项目</w:t>
            </w:r>
            <w:r>
              <w:rPr>
                <w:rFonts w:hint="eastAsia" w:ascii="方正仿宋_GBK" w:hAnsi="方正仿宋_GBK" w:eastAsia="方正仿宋_GBK" w:cs="方正仿宋_GBK"/>
                <w:color w:val="000000"/>
                <w:sz w:val="24"/>
                <w:szCs w:val="24"/>
                <w:lang w:val="en-US" w:eastAsia="zh-CN"/>
              </w:rPr>
              <w:t>限价</w:t>
            </w:r>
          </w:p>
        </w:tc>
        <w:tc>
          <w:tcPr>
            <w:tcW w:w="1083"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项目主管科室</w:t>
            </w: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成交供应商数量</w:t>
            </w: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069"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康复设备一批</w:t>
            </w: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针灸椅</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0.38万元</w:t>
            </w:r>
          </w:p>
        </w:tc>
        <w:tc>
          <w:tcPr>
            <w:tcW w:w="1083"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277"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c>
          <w:tcPr>
            <w:tcW w:w="1277"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中低频治疗仪为核心产品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中低频治疗仪</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4.5万元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中频治疗仪</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0.7万元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氦氖激光治疗机</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HYJ炎症治疗仪</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下肢CPM</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电动起立床</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中医透药治疗仪</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2.4万元</w:t>
            </w:r>
          </w:p>
        </w:tc>
        <w:tc>
          <w:tcPr>
            <w:tcW w:w="10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p>
        </w:tc>
        <w:tc>
          <w:tcPr>
            <w:tcW w:w="1069"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49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超短波治疗仪（落地款）</w:t>
            </w:r>
          </w:p>
        </w:tc>
        <w:tc>
          <w:tcPr>
            <w:tcW w:w="442"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2.9万元</w:t>
            </w:r>
          </w:p>
        </w:tc>
        <w:tc>
          <w:tcPr>
            <w:tcW w:w="1083"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557" w:type="dxa"/>
            <w:gridSpan w:val="4"/>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合计</w:t>
            </w:r>
          </w:p>
        </w:tc>
        <w:tc>
          <w:tcPr>
            <w:tcW w:w="1368"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20.08万元</w:t>
            </w:r>
          </w:p>
        </w:tc>
        <w:tc>
          <w:tcPr>
            <w:tcW w:w="1083"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bl>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b/>
          <w:bCs/>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bookmarkStart w:id="8" w:name="_Toc11412"/>
      <w:bookmarkStart w:id="9" w:name="_Toc9401"/>
      <w:bookmarkStart w:id="10" w:name="_Toc17509"/>
      <w:bookmarkStart w:id="11" w:name="_Toc3976"/>
      <w:bookmarkStart w:id="12" w:name="_Toc26564"/>
      <w:bookmarkStart w:id="13" w:name="_Toc6178"/>
      <w:bookmarkStart w:id="14" w:name="_Toc3374"/>
      <w:bookmarkStart w:id="15" w:name="_Toc1965"/>
      <w:bookmarkStart w:id="16" w:name="_Toc22548773"/>
      <w:bookmarkStart w:id="17" w:name="_Toc21930"/>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所投产品若为进口产品，须</w:t>
      </w:r>
      <w:r>
        <w:rPr>
          <w:rFonts w:hint="eastAsia" w:ascii="方正仿宋_GBK" w:hAnsi="方正仿宋_GBK" w:eastAsia="方正仿宋_GBK" w:cs="方正仿宋_GBK"/>
          <w:color w:val="000000"/>
          <w:sz w:val="24"/>
          <w:szCs w:val="24"/>
          <w:lang w:val="en-US" w:eastAsia="zh-CN"/>
        </w:rPr>
        <w:t>具备</w:t>
      </w:r>
      <w:r>
        <w:rPr>
          <w:rFonts w:hint="eastAsia" w:ascii="方正仿宋_GBK" w:hAnsi="方正仿宋_GBK" w:eastAsia="方正仿宋_GBK" w:cs="方正仿宋_GBK"/>
          <w:color w:val="000000"/>
          <w:sz w:val="24"/>
          <w:szCs w:val="24"/>
        </w:rPr>
        <w:t>制造商或制造商中国大陆境内代表机构出具的授权函</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提供授</w:t>
      </w:r>
      <w:r>
        <w:rPr>
          <w:rFonts w:hint="eastAsia" w:ascii="方正仿宋_GBK" w:hAnsi="方正仿宋_GBK" w:eastAsia="方正仿宋_GBK" w:cs="方正仿宋_GBK"/>
          <w:color w:val="auto"/>
          <w:sz w:val="24"/>
          <w:szCs w:val="24"/>
        </w:rPr>
        <w:t>权函</w:t>
      </w:r>
      <w:r>
        <w:rPr>
          <w:rFonts w:hint="eastAsia" w:ascii="方正仿宋_GBK" w:hAnsi="方正仿宋_GBK" w:eastAsia="方正仿宋_GBK" w:cs="方正仿宋_GBK"/>
          <w:color w:val="auto"/>
          <w:sz w:val="24"/>
          <w:szCs w:val="24"/>
          <w:lang w:val="en-US" w:eastAsia="zh-CN"/>
        </w:rPr>
        <w:t>复印件，原件现场备查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000000"/>
          <w:sz w:val="24"/>
          <w:szCs w:val="24"/>
        </w:rPr>
        <w:t>；</w:t>
      </w:r>
    </w:p>
    <w:p>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.所投产品</w:t>
      </w:r>
      <w:r>
        <w:rPr>
          <w:rFonts w:hint="eastAsia" w:ascii="方正仿宋_GBK" w:hAnsi="方正仿宋_GBK" w:eastAsia="方正仿宋_GBK" w:cs="方正仿宋_GBK"/>
          <w:color w:val="auto"/>
          <w:sz w:val="24"/>
          <w:szCs w:val="24"/>
          <w:lang w:val="en-US" w:eastAsia="zh-CN"/>
        </w:rPr>
        <w:t>若</w:t>
      </w:r>
      <w:r>
        <w:rPr>
          <w:rFonts w:hint="eastAsia" w:ascii="方正仿宋_GBK" w:hAnsi="方正仿宋_GBK" w:eastAsia="方正仿宋_GBK" w:cs="方正仿宋_GBK"/>
          <w:color w:val="auto"/>
          <w:sz w:val="24"/>
          <w:szCs w:val="24"/>
          <w:lang w:eastAsia="zh-CN"/>
        </w:rPr>
        <w:t>属于第一类医疗器械的，须</w:t>
      </w:r>
      <w:r>
        <w:rPr>
          <w:rFonts w:hint="eastAsia" w:ascii="方正仿宋_GBK" w:hAnsi="方正仿宋_GBK" w:eastAsia="方正仿宋_GBK" w:cs="方正仿宋_GBK"/>
          <w:color w:val="auto"/>
          <w:sz w:val="24"/>
          <w:szCs w:val="24"/>
          <w:lang w:val="en-US" w:eastAsia="zh-CN"/>
        </w:rPr>
        <w:t>具备</w:t>
      </w:r>
      <w:r>
        <w:rPr>
          <w:rFonts w:hint="eastAsia" w:ascii="方正仿宋_GBK" w:hAnsi="方正仿宋_GBK" w:eastAsia="方正仿宋_GBK" w:cs="方正仿宋_GBK"/>
          <w:color w:val="auto"/>
          <w:sz w:val="24"/>
          <w:szCs w:val="24"/>
          <w:lang w:eastAsia="zh-CN"/>
        </w:rPr>
        <w:t>第一类医疗器械备案信息表（提供信息表复印件）；</w:t>
      </w:r>
      <w:r>
        <w:rPr>
          <w:rFonts w:hint="eastAsia" w:ascii="方正仿宋_GBK" w:hAnsi="方正仿宋_GBK" w:eastAsia="方正仿宋_GBK" w:cs="方正仿宋_GBK"/>
          <w:color w:val="auto"/>
          <w:sz w:val="24"/>
          <w:szCs w:val="24"/>
          <w:lang w:val="en-US" w:eastAsia="zh-CN"/>
        </w:rPr>
        <w:t>若</w:t>
      </w:r>
      <w:r>
        <w:rPr>
          <w:rFonts w:hint="eastAsia" w:ascii="方正仿宋_GBK" w:hAnsi="方正仿宋_GBK" w:eastAsia="方正仿宋_GBK" w:cs="方正仿宋_GBK"/>
          <w:color w:val="auto"/>
          <w:sz w:val="24"/>
          <w:szCs w:val="24"/>
          <w:lang w:eastAsia="zh-CN"/>
        </w:rPr>
        <w:t>属于第二类或第三类医疗器械的，须具</w:t>
      </w:r>
      <w:r>
        <w:rPr>
          <w:rFonts w:hint="eastAsia" w:ascii="方正仿宋_GBK" w:hAnsi="方正仿宋_GBK" w:eastAsia="方正仿宋_GBK" w:cs="方正仿宋_GBK"/>
          <w:color w:val="auto"/>
          <w:sz w:val="24"/>
          <w:szCs w:val="24"/>
          <w:lang w:val="en-US" w:eastAsia="zh-CN"/>
        </w:rPr>
        <w:t>备</w:t>
      </w:r>
      <w:r>
        <w:rPr>
          <w:rFonts w:hint="eastAsia" w:ascii="方正仿宋_GBK" w:hAnsi="方正仿宋_GBK" w:eastAsia="方正仿宋_GBK" w:cs="方正仿宋_GBK"/>
          <w:color w:val="auto"/>
          <w:sz w:val="24"/>
          <w:szCs w:val="24"/>
          <w:lang w:eastAsia="zh-CN"/>
        </w:rPr>
        <w:t>有效期内的中华人民共和国医疗器械注册证（提供注册证复印件）</w:t>
      </w:r>
      <w:r>
        <w:rPr>
          <w:rFonts w:hint="eastAsia" w:ascii="方正仿宋_GBK" w:hAnsi="方正仿宋_GBK" w:eastAsia="方正仿宋_GBK" w:cs="方正仿宋_GBK"/>
          <w:color w:val="auto"/>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rPr>
        <w:t>3.须具备有效期内《医疗器械经营企业许可证》或《第</w:t>
      </w:r>
      <w:r>
        <w:rPr>
          <w:rFonts w:hint="eastAsia" w:ascii="方正仿宋_GBK" w:hAnsi="方正仿宋_GBK" w:eastAsia="方正仿宋_GBK" w:cs="方正仿宋_GBK"/>
          <w:color w:val="000000"/>
          <w:sz w:val="24"/>
          <w:szCs w:val="24"/>
        </w:rPr>
        <w:t>二类医疗器械经营备案凭证》</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提供相关证明材料复印件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w:t>
      </w:r>
    </w:p>
    <w:p>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四、技术参数</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（一）设备一：</w:t>
      </w:r>
      <w:r>
        <w:rPr>
          <w:rFonts w:hint="eastAsia" w:ascii="方正仿宋_GBK" w:hAnsi="方正仿宋_GBK" w:eastAsia="方正仿宋_GBK" w:cs="方正仿宋_GBK"/>
          <w:color w:val="000000"/>
          <w:sz w:val="24"/>
          <w:szCs w:val="24"/>
          <w:lang w:val="en-US" w:eastAsia="zh-CN"/>
        </w:rPr>
        <w:t>针灸椅 2把</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1.1产品尺寸：88*52*120cm±5%；</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1.2头枕调节角度：≥0~-130°；</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1.3胸枕调节角度：≥56°；</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1.4扶手调节角度：≥0~-90°；</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1.5座椅升降高速：≥0~4cm；</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1.6床身承重：≥150KG；</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1.7材质：皮革，SGS认证气杆，高密度海绵。</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（二）设备二：中低频治疗仪</w:t>
      </w:r>
      <w:r>
        <w:rPr>
          <w:rFonts w:hint="eastAsia" w:ascii="方正仿宋_GBK" w:hAnsi="方正仿宋_GBK" w:eastAsia="方正仿宋_GBK" w:cs="方正仿宋_GBK"/>
          <w:color w:val="000000"/>
          <w:sz w:val="24"/>
          <w:szCs w:val="24"/>
          <w:lang w:val="en-US" w:eastAsia="zh-CN"/>
        </w:rPr>
        <w:t xml:space="preserve">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2.1通道输出：≥4组，可独立使用，也可组合使用；</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2.2输出波形：至少包含正弦波；</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2.3干扰电输出≥2组；</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2.4干扰电频率范围：4000-4100Hz；</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2.5中频频率范围：2000-3000Hz；</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2.6低频频率范围：1-1000Hz；</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2.7差频频率范围：0-150Hz；</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2.8专业治疗处方：≥5个，切具备自定义处方功能；</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2.9治疗时间：5-99min可调；</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2.10动态节律：≥2种。</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（三）设备三：中频治疗仪 2台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3.1工作频率：1KHz-12KHz±10%；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3.2调制频率范围：0-150Hz；</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3.3调幅度：0%、33%、60%、100%四种调幅度，调幅度允差±5%；</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3.4调制波形≥10种，至少包含：方波、尖波、三角波、指数波、锯齿波、正弦波、等幅波、梯形波、扇形波、扇梯波；</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3.5 ≥2通道输出，至少包含：二路同步电刺激、异步电刺激通道；二路同步（温热）电刺激、异步（温热）电刺激通道；</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3.6热电极温度：25-41℃，多挡可调；</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3.7专家治疗处方≥50个；</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3.8治疗程序电疗法临床常规处方、音频电流疗法处方、正弦电流疗法处方、脉冲调制中频电流法处方≥20个。</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（四）设备四：氦氖激光治疗机1台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4.1工作频率：1KHz-12KHz±10%；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4.2激光波长：0.6330μm±0.0005μm；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4.3激光管长度：≤1000mm；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4.4最大输出功率：≥30mW；</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4.5光束传导：单丝光纤，光损耗≤15%； </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4.6输出方式：连续输出、定时输出；</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4.7光功率检测：光电转换控测，精确度优于±10%；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4.8控制方式：程序控制。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（五）设备五：HYJ炎症治疗仪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5.1输入功率：≤1000VA；</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5.2输出功率：0-180W，连续可调；</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5.3工作时间：0-30分钟，连续可调节；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5.4工作频率：2450±50MHz；</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5.5微波泄漏：≤0.2mW/cm2； </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5.6工作模式：连续模式、脉冲模式；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5.7圆柱形治疗头尺寸：高≥105mm，直径≥90mm；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5.8矩形治疗头尺寸：≥340mm×140mm×60mm；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5.9穿透性：≥12.5cm；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5.10具备磁控管发生器偏心输出装置。</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（六）设备六：下肢CPM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6.1彩屏显示运动角度、时间、速度；</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6.2膝、踝、髋关节均可运动；</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6.3康复器大腿支架长度可调节范围≥90mm，小腿支架长度可调节范围≥100mm；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6.4康复器的调节范围：大小腿支架之间的夹角运动最大变化范围≥120°；脚托板前后翻转角落变化范围≥40°，左右移动角度变化范围≥40°；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6.5康复器腿支架夹角的角速度调范围：最低速≤1°/s，最高速度≤2.5°/s，可调挡位 ≥6挡；</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6.6康复器整机工作噪音≤65dB；</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6.7手动控制件：使用者可自行控制康复器暂停或进行伸展运动（α向180°运动）；</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6.8具有力矩保护功能；</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6.9康复器在于200N荷载下可连续工作时间≥2h。</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（七）设备七：电动起立床 1张</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7.1固定绑带：具有胸、腰和膝等部位的固定；</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7.2扶手、桌板连续可调；</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7.3采用抗菌耐磨高弹力皮革；</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7.4脚踏板可内外翻、上下调节；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7.5操作方式：手控器控制；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7.6床面尺寸：≥650*1850mm；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7.7最大起立角度：≥80°；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7.8脚踏板活动角度：内翻0-35°、外翻0-35°、趾屈0-15°、背屈0-20°；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7.9配备紧急停止开关。</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（八）设备八：中医透药治疗仪 4台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8.1输出通道：≥2通道；</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8.2治疗模式：中频按摩治疗模式、导入治疗模式；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8.3输出波形：中频按摩治疗模式为对称波，导入治疗模式为非对称波配合电致孔技术；</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8.4输出频率：中频频率2000Hz±10%；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8.5调制低频频率:低频信号频率≥5种；</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8.6输出强度调节：99档可调；</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8.7最大脉冲电流：≤100mA；</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8.8具备输出和保护功能；</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8.9定时时间：自动设定20min，自定义设定1-60min，步进1min，允差不超过±1min；</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8.10 ≥四种治疗处方；</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8.11可连续工作时间≥4小时。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（九）设备九：超短波治疗仪（落地款）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9.1输出功率：≥200W，允许偏差±20%；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9.2工作频率：27.12MHz，允许偏差±0.6%；</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9.3治疗时间：10、15、20、25、30min五档，允许偏差±10%；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9.4额定输入功率：≥900VA；</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9.5可连续工作时间≥4小时。</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（一）交货时间、地点及验收方式</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1.交货时间：签订合同后90天；</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2.交货地点：重庆市第四人民医院内指定地点；</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3.验收方式</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3.1货物到达现场后，成交供应商应在使用单位人员在场情况下当面开箱，共同清点、检查外观，作出开箱记录，双方签字确认。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3.2成交供应商应保证货物到达采购人所在地完好无损，如有缺漏、损坏，由供应商负责调换、补齐或赔偿。</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3.3成交供应商应提供完备的技术资料、装箱单和合格证等，并派遣专业技术人员进行现场安装调试。验收合格条件如下：</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3.3.1设备技术参数与采购合同一致，性能指标达到规定的标准。</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3.3.2货物技术资料、装箱单、合格证等资料齐全。</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3.3.3在设备试运行期间所出现的问题得到解决，并运行正常。</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3.3.4在规定时间内完成交货并验收，并经采购人确认。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3.4供应商提供的货物未达到谈判文件规定要求，且对采购人造成损失的，由供应商承担一切责任，并赔偿所造成的损失。</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3.5采购人需要制造商对成交供应商交付的产品（包括质量、技术参数等）进行确认的，制造商应予以配合，并出具书面意见。</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包括但不限于设备价格、材料费、运输费、保险费、安装费、知识产权费、仓储费、检测费、各种税费等相关所有费用。因供应商自身原因造成漏报、少报皆由其自行承担责任。</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4.本项目设有最高限价￥200,800.00元（大写：贰拾万零捌佰元整）。 </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（三）产品质量保证期</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自验收合格之日起，</w:t>
      </w:r>
      <w:r>
        <w:rPr>
          <w:rFonts w:hint="eastAsia" w:ascii="方正仿宋_GBK" w:hAnsi="方正仿宋_GBK" w:eastAsia="方正仿宋_GBK" w:cs="方正仿宋_GBK"/>
          <w:color w:val="000000"/>
          <w:sz w:val="24"/>
          <w:szCs w:val="24"/>
          <w:lang w:val="en-US" w:eastAsia="zh-CN"/>
        </w:rPr>
        <w:t>提供不少于5</w:t>
      </w:r>
      <w:r>
        <w:rPr>
          <w:rFonts w:hint="default" w:ascii="方正仿宋_GBK" w:hAnsi="方正仿宋_GBK" w:eastAsia="方正仿宋_GBK" w:cs="方正仿宋_GBK"/>
          <w:color w:val="000000"/>
          <w:sz w:val="24"/>
          <w:szCs w:val="24"/>
          <w:lang w:val="en-US" w:eastAsia="zh-CN"/>
        </w:rPr>
        <w:t>年</w:t>
      </w:r>
      <w:r>
        <w:rPr>
          <w:rFonts w:hint="eastAsia" w:ascii="方正仿宋_GBK" w:hAnsi="方正仿宋_GBK" w:eastAsia="方正仿宋_GBK" w:cs="方正仿宋_GBK"/>
          <w:color w:val="000000"/>
          <w:sz w:val="24"/>
          <w:szCs w:val="24"/>
          <w:lang w:val="en-US" w:eastAsia="zh-CN"/>
        </w:rPr>
        <w:t>原厂</w:t>
      </w:r>
      <w:r>
        <w:rPr>
          <w:rFonts w:hint="default" w:ascii="方正仿宋_GBK" w:hAnsi="方正仿宋_GBK" w:eastAsia="方正仿宋_GBK" w:cs="方正仿宋_GBK"/>
          <w:color w:val="000000"/>
          <w:sz w:val="24"/>
          <w:szCs w:val="24"/>
          <w:lang w:val="en-US" w:eastAsia="zh-CN"/>
        </w:rPr>
        <w:t>整机质保期</w:t>
      </w:r>
      <w:r>
        <w:rPr>
          <w:rFonts w:hint="eastAsia" w:ascii="方正仿宋_GBK" w:hAnsi="方正仿宋_GBK" w:eastAsia="方正仿宋_GBK" w:cs="方正仿宋_GBK"/>
          <w:color w:val="000000"/>
          <w:sz w:val="24"/>
          <w:szCs w:val="24"/>
          <w:highlight w:val="none"/>
          <w:lang w:val="en-US"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（四）售后服务要求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4"/>
          <w:szCs w:val="24"/>
          <w:lang w:val="en-US" w:eastAsia="zh-CN"/>
        </w:rPr>
        <w:t>提供产品原厂售后服务承诺函（提供承诺函复印件，原件现场备查），承诺函需注明供应商名称和该项目名称。</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成交供应商和制造商在质量保证期内应当为采购人提供以下技术支持和服务：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2.1电话咨询</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成交供应商和制造商应当为采购人提供技术援助电话，解答采购人在使用中遇到的问题，及时为采购人提出解决问题的建议。</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2.2现场响应</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2.3技术升级</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在质保期内，如果成交供应商和制造商的产品技术升级，应及时通知采购人，如采购人有相应要求，应对采购人购买的产品进行免费升级服务。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3.质保期外服务要求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3.1质量保证期过后，中选人和制造商应同样提供免费电话咨询服务，并应承诺提供产品上门维护服务。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3.2质量保证期过后，采购人需要继续由原中选人和制造商提供售后服务的，该中选人和制造商应以优惠价格提供售后服务。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4.备品备件及易损件</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成交供应商和制造商售后服务中，维修使用的备品备件及易损件应为原厂配件，未经采购人同意不得使用非原厂配件，</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pPr>
        <w:keepNext/>
        <w:keepLines/>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付款方式</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转账付款；合同签订后，采购人在产品安装、调试经双方验收合格后，收到成交供应商符合合同内容的合法有效的发票后付设备款</w:t>
      </w:r>
      <w:r>
        <w:rPr>
          <w:rFonts w:hint="eastAsia" w:ascii="方正仿宋_GBK" w:hAnsi="方正仿宋_GBK" w:eastAsia="方正仿宋_GBK" w:cs="方正仿宋_GBK"/>
          <w:color w:val="auto"/>
          <w:sz w:val="24"/>
          <w:szCs w:val="24"/>
          <w:highlight w:val="none"/>
          <w:lang w:val="en-US"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default" w:ascii="方正仿宋_GBK" w:hAnsi="方正仿宋_GBK" w:eastAsia="方正仿宋_GBK" w:cs="方正仿宋_GBK"/>
          <w:b/>
          <w:bCs/>
          <w:color w:val="000000"/>
          <w:sz w:val="24"/>
          <w:szCs w:val="24"/>
          <w:lang w:val="en-US" w:eastAsia="zh-CN"/>
        </w:rPr>
        <w:t>提供所投机型在重庆的用户名单、联系人及联系电话</w:t>
      </w:r>
      <w:r>
        <w:rPr>
          <w:rFonts w:hint="eastAsia" w:ascii="方正仿宋_GBK" w:hAnsi="方正仿宋_GBK" w:eastAsia="方正仿宋_GBK" w:cs="方正仿宋_GBK"/>
          <w:b/>
          <w:bCs/>
          <w:color w:val="000000"/>
          <w:sz w:val="24"/>
          <w:szCs w:val="24"/>
          <w:lang w:val="en-US" w:eastAsia="zh-CN"/>
        </w:rPr>
        <w:t>（其他区域业绩也可）。</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（七）知识产权</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red"/>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675" w:type="dxa"/>
            <w:vAlign w:val="center"/>
          </w:tcPr>
          <w:p>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675" w:type="dxa"/>
            <w:vMerge w:val="restart"/>
            <w:vAlign w:val="center"/>
          </w:tcPr>
          <w:p>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6"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pPr>
              <w:spacing w:line="240" w:lineRule="exact"/>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w:t>
      </w:r>
      <w:r>
        <w:rPr>
          <w:rFonts w:hint="eastAsia" w:ascii="方正仿宋_GBK" w:hAnsi="宋体" w:eastAsia="方正仿宋_GBK"/>
          <w:color w:val="auto"/>
          <w:sz w:val="24"/>
          <w:szCs w:val="24"/>
          <w:lang w:val="en-US" w:eastAsia="zh-CN"/>
        </w:rPr>
        <w:t>谈判</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出现下列情形之一的，采购人应当终止谈判采购活动，发布项目终止公告并说明原因，重新开展采购活动：</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1.因情况变化，不再符合规定的谈判采购方式适用情形的；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2.出现影响采购公正的违法、违规行为的；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3.因重大变故，采购任务取消的。</w:t>
      </w:r>
    </w:p>
    <w:p>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七、有关说明</w:t>
      </w:r>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文件公告期限：自</w:t>
      </w:r>
      <w:r>
        <w:rPr>
          <w:rFonts w:hint="eastAsia" w:ascii="方正仿宋_GBK" w:hAnsi="方正仿宋_GBK" w:eastAsia="方正仿宋_GBK" w:cs="方正仿宋_GBK"/>
          <w:color w:val="000000"/>
          <w:sz w:val="24"/>
          <w:szCs w:val="24"/>
          <w:lang w:val="en-US" w:eastAsia="zh-CN"/>
        </w:rPr>
        <w:t>澄清文件</w:t>
      </w:r>
      <w:r>
        <w:rPr>
          <w:rFonts w:hint="eastAsia" w:ascii="方正仿宋_GBK" w:hAnsi="方正仿宋_GBK" w:eastAsia="方正仿宋_GBK" w:cs="方正仿宋_GBK"/>
          <w:color w:val="000000"/>
          <w:sz w:val="24"/>
          <w:szCs w:val="24"/>
        </w:rPr>
        <w:t>发布之日起三个工作日。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14</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8:30-17:00</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bookmarkStart w:id="75" w:name="_GoBack"/>
      <w:bookmarkEnd w:id="75"/>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w:t>
      </w:r>
      <w:r>
        <w:rPr>
          <w:rFonts w:hint="eastAsia" w:ascii="方正仿宋_GBK" w:hAnsi="方正仿宋_GBK" w:eastAsia="方正仿宋_GBK" w:cs="方正仿宋_GBK"/>
          <w:color w:val="000000"/>
          <w:sz w:val="24"/>
          <w:szCs w:val="24"/>
          <w:lang w:val="en-US" w:eastAsia="zh-CN"/>
        </w:rPr>
        <w:t>电话</w:t>
      </w:r>
      <w:r>
        <w:rPr>
          <w:rFonts w:hint="eastAsia" w:ascii="方正仿宋_GBK" w:hAnsi="方正仿宋_GBK" w:eastAsia="方正仿宋_GBK" w:cs="方正仿宋_GBK"/>
          <w:color w:val="000000"/>
          <w:sz w:val="24"/>
          <w:szCs w:val="24"/>
          <w:lang w:eastAsia="zh-CN"/>
        </w:rPr>
        <w:t>形式告之</w:t>
      </w:r>
      <w:r>
        <w:rPr>
          <w:rFonts w:hint="eastAsia" w:ascii="方正仿宋_GBK" w:hAnsi="方正仿宋_GBK" w:eastAsia="方正仿宋_GBK" w:cs="方正仿宋_GBK"/>
          <w:color w:val="000000"/>
          <w:sz w:val="24"/>
          <w:szCs w:val="24"/>
          <w:lang w:val="en-US" w:eastAsia="zh-CN"/>
        </w:rPr>
        <w:t>成交供应商</w:t>
      </w:r>
      <w:r>
        <w:rPr>
          <w:rFonts w:hint="eastAsia" w:ascii="方正仿宋_GBK" w:hAnsi="方正仿宋_GBK" w:eastAsia="方正仿宋_GBK" w:cs="方正仿宋_GBK"/>
          <w:color w:val="000000"/>
          <w:sz w:val="24"/>
          <w:szCs w:val="24"/>
          <w:lang w:eastAsia="zh-CN"/>
        </w:rPr>
        <w:t>，并在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lang w:eastAsia="zh-CN"/>
        </w:rPr>
        <w:t>上发布结果公告。</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解释</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失败原因，</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lang w:eastAsia="zh-CN"/>
        </w:rPr>
        <w:t>文件概不退还</w:t>
      </w:r>
      <w:r>
        <w:rPr>
          <w:rFonts w:hint="eastAsia" w:ascii="方正仿宋_GBK" w:hAnsi="方正仿宋_GBK" w:eastAsia="方正仿宋_GBK" w:cs="方正仿宋_GBK"/>
          <w:color w:val="000000"/>
          <w:sz w:val="24"/>
          <w:szCs w:val="24"/>
        </w:rPr>
        <w:t>。</w:t>
      </w:r>
      <w:bookmarkStart w:id="18" w:name="_Toc13490"/>
      <w:bookmarkStart w:id="19" w:name="_Toc22978"/>
      <w:bookmarkStart w:id="20" w:name="_Toc517367960"/>
      <w:bookmarkStart w:id="21" w:name="_Toc527828387"/>
      <w:bookmarkStart w:id="22" w:name="_Toc517368027"/>
      <w:bookmarkStart w:id="23" w:name="_Toc21862"/>
      <w:bookmarkStart w:id="24" w:name="_Toc8132"/>
      <w:bookmarkStart w:id="25" w:name="_Toc31639"/>
      <w:bookmarkStart w:id="26" w:name="_Toc31810"/>
      <w:bookmarkStart w:id="27" w:name="_Toc6933"/>
    </w:p>
    <w:p>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pPr>
        <w:pStyle w:val="8"/>
        <w:pageBreakBefore w:val="0"/>
        <w:widowControl w:val="0"/>
        <w:numPr>
          <w:ilvl w:val="0"/>
          <w:numId w:val="2"/>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质疑答复时限</w:t>
      </w:r>
    </w:p>
    <w:p>
      <w:pPr>
        <w:pStyle w:val="8"/>
        <w:pageBreakBefore w:val="0"/>
        <w:widowControl w:val="0"/>
        <w:numPr>
          <w:ilvl w:val="0"/>
          <w:numId w:val="0"/>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pPr>
        <w:pStyle w:val="8"/>
        <w:pageBreakBefore w:val="0"/>
        <w:widowControl w:val="0"/>
        <w:numPr>
          <w:ilvl w:val="0"/>
          <w:numId w:val="2"/>
        </w:numPr>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投诉</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pPr>
        <w:pStyle w:val="8"/>
        <w:keepNext w:val="0"/>
        <w:keepLines w:val="0"/>
        <w:pageBreakBefore w:val="0"/>
        <w:widowControl w:val="0"/>
        <w:numPr>
          <w:ilvl w:val="0"/>
          <w:numId w:val="4"/>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517367961"/>
      <w:bookmarkStart w:id="30" w:name="_Toc517368028"/>
      <w:bookmarkStart w:id="31" w:name="_Toc2188"/>
      <w:bookmarkStart w:id="32" w:name="_Toc527828388"/>
      <w:bookmarkStart w:id="33" w:name="_Toc24060"/>
      <w:bookmarkStart w:id="34" w:name="_Toc1495"/>
      <w:bookmarkStart w:id="35" w:name="_Toc15317"/>
      <w:bookmarkStart w:id="36" w:name="_Toc20734"/>
      <w:bookmarkStart w:id="37" w:name="_Toc24167"/>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本项目的补遗文件（如果有）一律在“重庆市急救医疗中心”网站（www.</w:t>
      </w:r>
      <w:r>
        <w:rPr>
          <w:rFonts w:hint="eastAsia" w:ascii="方正仿宋_GBK" w:hAnsi="方正仿宋_GBK" w:eastAsia="方正仿宋_GBK" w:cs="方正仿宋_GBK"/>
          <w:color w:val="000000"/>
          <w:sz w:val="24"/>
          <w:szCs w:val="24"/>
          <w:lang w:eastAsia="zh-CN"/>
        </w:rPr>
        <w:t>120cq</w:t>
      </w:r>
      <w:r>
        <w:rPr>
          <w:rFonts w:hint="eastAsia" w:ascii="方正仿宋_GBK" w:hAnsi="方正仿宋_GBK" w:eastAsia="方正仿宋_GBK" w:cs="方正仿宋_GBK"/>
          <w:color w:val="000000"/>
          <w:sz w:val="24"/>
          <w:szCs w:val="24"/>
        </w:rPr>
        <w:t>.com.cn）上发布，请各供应商注意下载；无论供应商下载与否，均视同已知晓本项目补遗文件（如果有）的内容。</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keepLines/>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w:t>
      </w:r>
      <w:r>
        <w:rPr>
          <w:rFonts w:hint="eastAsia" w:ascii="方正仿宋_GBK" w:hAnsi="方正仿宋_GBK" w:eastAsia="方正仿宋_GBK" w:cs="方正仿宋_GBK"/>
          <w:color w:val="000000"/>
          <w:sz w:val="24"/>
          <w:szCs w:val="24"/>
          <w:lang w:val="en-US" w:eastAsia="zh-CN"/>
        </w:rPr>
        <w:t>63692226</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桂花园路</w:t>
      </w:r>
      <w:r>
        <w:rPr>
          <w:rFonts w:hint="eastAsia" w:ascii="方正仿宋_GBK" w:hAnsi="方正仿宋_GBK" w:eastAsia="方正仿宋_GBK" w:cs="方正仿宋_GBK"/>
          <w:color w:val="000000"/>
          <w:sz w:val="24"/>
          <w:szCs w:val="24"/>
        </w:rPr>
        <w:t>1号</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如对技术参数或资格审核有疑问的，请咨询医学装备科雷老师</w:t>
      </w:r>
      <w:r>
        <w:rPr>
          <w:rFonts w:hint="eastAsia" w:ascii="方正仿宋_GBK" w:hAnsi="方正仿宋_GBK" w:eastAsia="方正仿宋_GBK" w:cs="方正仿宋_GBK"/>
          <w:color w:val="000000"/>
          <w:sz w:val="24"/>
          <w:szCs w:val="24"/>
          <w:highlight w:val="none"/>
          <w:lang w:val="en-US" w:eastAsia="zh-CN"/>
        </w:rPr>
        <w:t>，联系电话：（023）63692225</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br w:type="page"/>
      </w:r>
    </w:p>
    <w:p>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pPr>
        <w:pStyle w:val="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产品原厂售后服务承诺函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65660379"/>
      <w:bookmarkStart w:id="40" w:name="_Toc26343"/>
      <w:bookmarkStart w:id="41" w:name="_Toc313888360"/>
      <w:bookmarkStart w:id="42" w:name="_Toc342913419"/>
      <w:bookmarkStart w:id="43" w:name="_Toc313008356"/>
      <w:bookmarkStart w:id="44" w:name="_Toc14244"/>
      <w:bookmarkStart w:id="45" w:name="_Toc106034659"/>
      <w:bookmarkStart w:id="46" w:name="_Toc283382454"/>
      <w:bookmarkStart w:id="47" w:name="_Toc12789073"/>
      <w:r>
        <w:rPr>
          <w:rFonts w:hint="eastAsia" w:ascii="方正仿宋_GBK" w:hAnsi="宋体" w:eastAsia="方正仿宋_GBK"/>
          <w:sz w:val="24"/>
        </w:rPr>
        <w:t>一、经济部分</w:t>
      </w:r>
      <w:bookmarkEnd w:id="39"/>
      <w:bookmarkEnd w:id="40"/>
      <w:bookmarkEnd w:id="41"/>
      <w:bookmarkEnd w:id="42"/>
      <w:bookmarkEnd w:id="43"/>
      <w:bookmarkEnd w:id="44"/>
      <w:bookmarkEnd w:id="45"/>
    </w:p>
    <w:bookmarkEnd w:id="46"/>
    <w:bookmarkEnd w:id="47"/>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2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单位：元</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48"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tc>
        <w:tc>
          <w:tcPr>
            <w:tcW w:w="1233"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pPr>
              <w:jc w:val="center"/>
              <w:rPr>
                <w:rFonts w:hint="eastAsia" w:ascii="方正仿宋_GBK" w:hAnsi="宋体" w:eastAsia="方正仿宋_GBK"/>
                <w:sz w:val="24"/>
                <w:szCs w:val="28"/>
              </w:rPr>
            </w:pPr>
          </w:p>
        </w:tc>
        <w:tc>
          <w:tcPr>
            <w:tcW w:w="1721" w:type="dxa"/>
            <w:tcBorders>
              <w:bottom w:val="single" w:color="auto" w:sz="4" w:space="0"/>
            </w:tcBorders>
            <w:vAlign w:val="center"/>
          </w:tcPr>
          <w:p>
            <w:pPr>
              <w:jc w:val="center"/>
              <w:rPr>
                <w:rFonts w:hint="eastAsia" w:ascii="方正仿宋_GBK" w:hAnsi="宋体" w:eastAsia="方正仿宋_GBK"/>
                <w:sz w:val="24"/>
                <w:szCs w:val="28"/>
              </w:rPr>
            </w:pPr>
          </w:p>
        </w:tc>
        <w:tc>
          <w:tcPr>
            <w:tcW w:w="1417" w:type="dxa"/>
            <w:tcBorders>
              <w:bottom w:val="single" w:color="auto" w:sz="4" w:space="0"/>
            </w:tcBorders>
            <w:vAlign w:val="center"/>
          </w:tcPr>
          <w:p>
            <w:pPr>
              <w:jc w:val="center"/>
              <w:rPr>
                <w:rFonts w:hint="eastAsia" w:ascii="方正仿宋_GBK" w:hAnsi="宋体" w:eastAsia="方正仿宋_GBK"/>
                <w:sz w:val="24"/>
                <w:szCs w:val="28"/>
              </w:rPr>
            </w:pPr>
          </w:p>
        </w:tc>
        <w:tc>
          <w:tcPr>
            <w:tcW w:w="1250" w:type="dxa"/>
            <w:tcBorders>
              <w:bottom w:val="single" w:color="auto" w:sz="4" w:space="0"/>
            </w:tcBorders>
            <w:vAlign w:val="center"/>
          </w:tcPr>
          <w:p>
            <w:pPr>
              <w:jc w:val="center"/>
              <w:rPr>
                <w:rFonts w:hint="eastAsia" w:ascii="方正仿宋_GBK" w:hAnsi="宋体" w:eastAsia="方正仿宋_GBK"/>
                <w:sz w:val="24"/>
                <w:szCs w:val="28"/>
              </w:rPr>
            </w:pPr>
          </w:p>
        </w:tc>
        <w:tc>
          <w:tcPr>
            <w:tcW w:w="867" w:type="dxa"/>
            <w:tcBorders>
              <w:bottom w:val="single" w:color="auto" w:sz="4" w:space="0"/>
            </w:tcBorders>
            <w:vAlign w:val="center"/>
          </w:tcPr>
          <w:p>
            <w:pPr>
              <w:jc w:val="center"/>
              <w:rPr>
                <w:rFonts w:hint="eastAsia" w:ascii="方正仿宋_GBK" w:hAnsi="宋体" w:eastAsia="方正仿宋_GBK"/>
                <w:sz w:val="24"/>
                <w:szCs w:val="28"/>
              </w:rPr>
            </w:pPr>
          </w:p>
        </w:tc>
        <w:tc>
          <w:tcPr>
            <w:tcW w:w="1186" w:type="dxa"/>
            <w:tcBorders>
              <w:bottom w:val="single" w:color="auto" w:sz="4" w:space="0"/>
            </w:tcBorders>
            <w:vAlign w:val="center"/>
          </w:tcPr>
          <w:p>
            <w:pPr>
              <w:jc w:val="center"/>
              <w:rPr>
                <w:rFonts w:hint="eastAsia" w:ascii="方正仿宋_GBK" w:hAnsi="宋体" w:eastAsia="方正仿宋_GBK"/>
                <w:sz w:val="24"/>
                <w:szCs w:val="28"/>
              </w:rPr>
            </w:pPr>
          </w:p>
        </w:tc>
        <w:tc>
          <w:tcPr>
            <w:tcW w:w="1233"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pPr>
              <w:jc w:val="center"/>
              <w:rPr>
                <w:rFonts w:hint="eastAsia" w:ascii="方正仿宋_GBK" w:hAnsi="宋体" w:eastAsia="方正仿宋_GBK"/>
                <w:sz w:val="24"/>
                <w:szCs w:val="28"/>
              </w:rPr>
            </w:pPr>
          </w:p>
        </w:tc>
        <w:tc>
          <w:tcPr>
            <w:tcW w:w="1721" w:type="dxa"/>
            <w:tcBorders>
              <w:bottom w:val="single" w:color="auto" w:sz="4" w:space="0"/>
            </w:tcBorders>
            <w:vAlign w:val="center"/>
          </w:tcPr>
          <w:p>
            <w:pPr>
              <w:jc w:val="center"/>
              <w:rPr>
                <w:rFonts w:hint="eastAsia" w:ascii="方正仿宋_GBK" w:hAnsi="宋体" w:eastAsia="方正仿宋_GBK"/>
                <w:sz w:val="24"/>
                <w:szCs w:val="28"/>
              </w:rPr>
            </w:pPr>
          </w:p>
        </w:tc>
        <w:tc>
          <w:tcPr>
            <w:tcW w:w="1417" w:type="dxa"/>
            <w:tcBorders>
              <w:bottom w:val="single" w:color="auto" w:sz="4" w:space="0"/>
            </w:tcBorders>
            <w:vAlign w:val="center"/>
          </w:tcPr>
          <w:p>
            <w:pPr>
              <w:jc w:val="center"/>
              <w:rPr>
                <w:rFonts w:hint="eastAsia" w:ascii="方正仿宋_GBK" w:hAnsi="宋体" w:eastAsia="方正仿宋_GBK"/>
                <w:sz w:val="24"/>
                <w:szCs w:val="28"/>
              </w:rPr>
            </w:pPr>
          </w:p>
        </w:tc>
        <w:tc>
          <w:tcPr>
            <w:tcW w:w="1250" w:type="dxa"/>
            <w:tcBorders>
              <w:bottom w:val="single" w:color="auto" w:sz="4" w:space="0"/>
            </w:tcBorders>
            <w:vAlign w:val="center"/>
          </w:tcPr>
          <w:p>
            <w:pPr>
              <w:jc w:val="center"/>
              <w:rPr>
                <w:rFonts w:hint="eastAsia" w:ascii="方正仿宋_GBK" w:hAnsi="宋体" w:eastAsia="方正仿宋_GBK"/>
                <w:sz w:val="24"/>
                <w:szCs w:val="28"/>
              </w:rPr>
            </w:pPr>
          </w:p>
        </w:tc>
        <w:tc>
          <w:tcPr>
            <w:tcW w:w="867" w:type="dxa"/>
            <w:tcBorders>
              <w:bottom w:val="single" w:color="auto" w:sz="4" w:space="0"/>
            </w:tcBorders>
            <w:vAlign w:val="center"/>
          </w:tcPr>
          <w:p>
            <w:pPr>
              <w:jc w:val="center"/>
              <w:rPr>
                <w:rFonts w:hint="eastAsia" w:ascii="方正仿宋_GBK" w:hAnsi="宋体" w:eastAsia="方正仿宋_GBK"/>
                <w:sz w:val="24"/>
                <w:szCs w:val="28"/>
              </w:rPr>
            </w:pPr>
          </w:p>
        </w:tc>
        <w:tc>
          <w:tcPr>
            <w:tcW w:w="1186" w:type="dxa"/>
            <w:tcBorders>
              <w:bottom w:val="single" w:color="auto" w:sz="4" w:space="0"/>
            </w:tcBorders>
            <w:vAlign w:val="center"/>
          </w:tcPr>
          <w:p>
            <w:pPr>
              <w:jc w:val="center"/>
              <w:rPr>
                <w:rFonts w:hint="eastAsia" w:ascii="方正仿宋_GBK" w:hAnsi="宋体" w:eastAsia="方正仿宋_GBK"/>
                <w:sz w:val="24"/>
                <w:szCs w:val="28"/>
              </w:rPr>
            </w:pPr>
          </w:p>
        </w:tc>
        <w:tc>
          <w:tcPr>
            <w:tcW w:w="1233"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48" w:type="dxa"/>
            <w:vAlign w:val="center"/>
          </w:tcPr>
          <w:p>
            <w:pPr>
              <w:jc w:val="center"/>
              <w:rPr>
                <w:rFonts w:hint="eastAsia" w:ascii="方正仿宋_GBK" w:hAnsi="宋体" w:eastAsia="方正仿宋_GBK"/>
                <w:sz w:val="24"/>
                <w:szCs w:val="28"/>
              </w:rPr>
            </w:pPr>
          </w:p>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bl>
    <w:p>
      <w:pPr>
        <w:snapToGrid w:val="0"/>
        <w:spacing w:line="500" w:lineRule="exact"/>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8" w:name="OLE_LINK1"/>
      <w:bookmarkStart w:id="49" w:name="OLE_LINK2"/>
      <w:r>
        <w:rPr>
          <w:rFonts w:hint="eastAsia" w:ascii="方正仿宋_GBK" w:hAnsi="宋体" w:eastAsia="方正仿宋_GBK"/>
          <w:sz w:val="24"/>
          <w:szCs w:val="28"/>
        </w:rPr>
        <w:t>。</w:t>
      </w:r>
      <w:bookmarkEnd w:id="48"/>
      <w:bookmarkEnd w:id="49"/>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供应商名称（公章）或自然人签署：</w:t>
      </w:r>
    </w:p>
    <w:p>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50" w:name="_Toc22655"/>
      <w:bookmarkStart w:id="51" w:name="_Toc14073"/>
      <w:bookmarkStart w:id="52" w:name="_Toc106034660"/>
      <w:bookmarkStart w:id="53" w:name="_Toc313888361"/>
      <w:bookmarkStart w:id="54" w:name="_Toc313008357"/>
      <w:bookmarkStart w:id="55" w:name="_Toc342913420"/>
      <w:bookmarkStart w:id="56" w:name="_Toc65660380"/>
      <w:r>
        <w:rPr>
          <w:rFonts w:hint="eastAsia" w:ascii="方正仿宋_GBK" w:hAnsi="宋体" w:eastAsia="方正仿宋_GBK"/>
          <w:sz w:val="24"/>
        </w:rPr>
        <w:t>二、技术（质量）部分</w:t>
      </w:r>
      <w:bookmarkEnd w:id="50"/>
      <w:bookmarkEnd w:id="51"/>
      <w:bookmarkEnd w:id="52"/>
      <w:bookmarkEnd w:id="53"/>
      <w:bookmarkEnd w:id="54"/>
      <w:bookmarkEnd w:id="55"/>
      <w:bookmarkEnd w:id="56"/>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106034661"/>
      <w:bookmarkStart w:id="58" w:name="_Toc65660381"/>
      <w:bookmarkStart w:id="59" w:name="_Toc32339"/>
      <w:bookmarkStart w:id="60" w:name="_Toc32158"/>
      <w:bookmarkStart w:id="61" w:name="_Toc342913421"/>
      <w:bookmarkStart w:id="62" w:name="_Toc313888362"/>
      <w:bookmarkStart w:id="63" w:name="_Toc313008358"/>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57"/>
      <w:bookmarkEnd w:id="58"/>
      <w:bookmarkEnd w:id="59"/>
      <w:bookmarkEnd w:id="60"/>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lang w:val="en-US" w:eastAsia="zh-CN"/>
        </w:rPr>
        <w:t>（二）</w:t>
      </w:r>
      <w:r>
        <w:rPr>
          <w:rFonts w:hint="eastAsia" w:ascii="方正仿宋_GBK" w:hAnsi="方正仿宋_GBK" w:eastAsia="方正仿宋_GBK" w:cs="方正仿宋_GBK"/>
          <w:color w:val="000000"/>
          <w:sz w:val="24"/>
          <w:szCs w:val="24"/>
          <w:lang w:val="en-US" w:eastAsia="zh-CN"/>
        </w:rPr>
        <w:t>产品原厂售后服务承诺函（提供承诺函复印件，原件现场备查），承诺函需注明供应商名称和该项目名称。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pPr>
        <w:tabs>
          <w:tab w:val="left" w:pos="6300"/>
        </w:tabs>
        <w:snapToGrid w:val="0"/>
        <w:spacing w:line="480" w:lineRule="exact"/>
        <w:ind w:firstLine="480" w:firstLineChars="200"/>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2082"/>
      <w:bookmarkStart w:id="65" w:name="_Toc20162"/>
      <w:bookmarkStart w:id="66" w:name="_Toc65660382"/>
      <w:bookmarkStart w:id="67" w:name="_Toc10603466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13008359"/>
      <w:bookmarkStart w:id="69" w:name="_Toc342913422"/>
      <w:bookmarkStart w:id="70"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tabs>
          <w:tab w:val="left" w:pos="6300"/>
        </w:tabs>
        <w:snapToGrid w:val="0"/>
        <w:spacing w:line="500" w:lineRule="exact"/>
        <w:ind w:right="480" w:firstLine="570"/>
        <w:jc w:val="left"/>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widowControl/>
        <w:spacing w:line="400" w:lineRule="exact"/>
        <w:ind w:firstLine="6720" w:firstLineChars="2800"/>
        <w:jc w:val="left"/>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5"/>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（提供授权书复印件）（如有）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5"/>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71" w:name="_Toc106034663"/>
      <w:bookmarkStart w:id="72" w:name="_Toc17010"/>
      <w:bookmarkStart w:id="73" w:name="_Toc2080"/>
      <w:bookmarkStart w:id="74" w:name="_Toc65660383"/>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widowControl/>
        <w:spacing w:line="400" w:lineRule="exact"/>
        <w:ind w:left="6224" w:leftChars="2964" w:firstLine="480" w:firstLineChars="200"/>
        <w:jc w:val="left"/>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widowControl/>
        <w:spacing w:line="400" w:lineRule="exact"/>
        <w:ind w:firstLine="6480" w:firstLineChars="2700"/>
        <w:jc w:val="left"/>
        <w:rPr>
          <w:rFonts w:hint="eastAsia" w:ascii="方正仿宋_GBK" w:hAnsi="宋体" w:eastAsia="方正仿宋_GBK"/>
          <w:sz w:val="24"/>
          <w:szCs w:val="24"/>
        </w:rPr>
      </w:pPr>
      <w:r>
        <w:rPr>
          <w:rFonts w:hint="eastAsia" w:ascii="方正仿宋_GBK" w:hAnsi="仿宋" w:eastAsia="方正仿宋_GBK"/>
          <w:sz w:val="24"/>
        </w:rPr>
        <w:t>年   月   日</w:t>
      </w:r>
    </w:p>
    <w:p>
      <w:pPr>
        <w:pStyle w:val="6"/>
        <w:rPr>
          <w:rFonts w:hint="eastAsia" w:ascii="方正仿宋_GBK" w:hAnsi="方正仿宋_GBK" w:eastAsia="方正仿宋_GBK" w:cs="方正仿宋_GBK"/>
          <w:sz w:val="24"/>
          <w:szCs w:val="32"/>
        </w:rPr>
      </w:pPr>
    </w:p>
    <w:p>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br w:type="page"/>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val="en-US" w:eastAsia="zh-CN"/>
        </w:rPr>
      </w:pPr>
    </w:p>
    <w:p>
      <w:pPr>
        <w:rPr>
          <w:rFonts w:hint="eastAsia" w:ascii="方正仿宋_GBK" w:hAnsi="宋体" w:eastAsia="方正仿宋_GBK"/>
          <w:sz w:val="24"/>
          <w:szCs w:val="24"/>
          <w:lang w:val="en-US" w:eastAsia="zh-CN"/>
        </w:rPr>
      </w:pPr>
    </w:p>
    <w:p>
      <w:pPr>
        <w:pStyle w:val="11"/>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1" w:fontKey="{F88F7545-67D7-405A-B44C-C313B92A2E74}"/>
  </w:font>
  <w:font w:name="方正仿宋_GBK">
    <w:panose1 w:val="03000509000000000000"/>
    <w:charset w:val="86"/>
    <w:family w:val="auto"/>
    <w:pitch w:val="default"/>
    <w:sig w:usb0="00000001" w:usb1="080E0000" w:usb2="00000000" w:usb3="00000000" w:csb0="00040000" w:csb1="00000000"/>
    <w:embedRegular r:id="rId2" w:fontKey="{D1FF088F-8E68-4BEA-9EE2-B142B211154D}"/>
  </w:font>
  <w:font w:name="仿宋">
    <w:panose1 w:val="02010609060101010101"/>
    <w:charset w:val="86"/>
    <w:family w:val="modern"/>
    <w:pitch w:val="default"/>
    <w:sig w:usb0="800002BF" w:usb1="38CF7CFA" w:usb2="00000016" w:usb3="00000000" w:csb0="00040001" w:csb1="00000000"/>
    <w:embedRegular r:id="rId3" w:fontKey="{62310724-C744-4339-8B63-1FD2DDA7759C}"/>
  </w:font>
  <w:font w:name="仿宋_GB2312">
    <w:altName w:val="仿宋"/>
    <w:panose1 w:val="00000000000000000000"/>
    <w:charset w:val="86"/>
    <w:family w:val="modern"/>
    <w:pitch w:val="default"/>
    <w:sig w:usb0="00000000" w:usb1="00000000" w:usb2="00000010" w:usb3="00000000" w:csb0="00040000" w:csb1="00000000"/>
    <w:embedRegular r:id="rId4" w:fontKey="{F880DA87-9569-4A3A-BDF2-930DC1363E3F}"/>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黑体_GBK">
    <w:altName w:val="微软雅黑"/>
    <w:panose1 w:val="03000509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D454D"/>
    <w:multiLevelType w:val="singleLevel"/>
    <w:tmpl w:val="C40D454D"/>
    <w:lvl w:ilvl="0" w:tentative="0">
      <w:start w:val="5"/>
      <w:numFmt w:val="chineseCounting"/>
      <w:suff w:val="nothing"/>
      <w:lvlText w:val="（%1）"/>
      <w:lvlJc w:val="left"/>
      <w:rPr>
        <w:rFonts w:hint="eastAsia"/>
      </w:rPr>
    </w:lvl>
  </w:abstractNum>
  <w:abstractNum w:abstractNumId="1">
    <w:nsid w:val="FFAE28EE"/>
    <w:multiLevelType w:val="singleLevel"/>
    <w:tmpl w:val="FFAE28EE"/>
    <w:lvl w:ilvl="0" w:tentative="0">
      <w:start w:val="2"/>
      <w:numFmt w:val="decimal"/>
      <w:lvlText w:val="%1."/>
      <w:lvlJc w:val="left"/>
      <w:pPr>
        <w:tabs>
          <w:tab w:val="left" w:pos="312"/>
        </w:tabs>
      </w:p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abstractNum w:abstractNumId="3">
    <w:nsid w:val="3FA069D0"/>
    <w:multiLevelType w:val="singleLevel"/>
    <w:tmpl w:val="3FA069D0"/>
    <w:lvl w:ilvl="0" w:tentative="0">
      <w:start w:val="3"/>
      <w:numFmt w:val="chineseCounting"/>
      <w:suff w:val="nothing"/>
      <w:lvlText w:val="（%1）"/>
      <w:lvlJc w:val="left"/>
      <w:rPr>
        <w:rFonts w:hint="eastAsia"/>
      </w:rPr>
    </w:lvl>
  </w:abstractNum>
  <w:abstractNum w:abstractNumId="4">
    <w:nsid w:val="72FE8E30"/>
    <w:multiLevelType w:val="singleLevel"/>
    <w:tmpl w:val="72FE8E30"/>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22C1"/>
    <w:rsid w:val="009F7A90"/>
    <w:rsid w:val="00A0215A"/>
    <w:rsid w:val="00A02868"/>
    <w:rsid w:val="00A31EB8"/>
    <w:rsid w:val="00A45EF1"/>
    <w:rsid w:val="00A864EE"/>
    <w:rsid w:val="00A87F74"/>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91F4C"/>
    <w:rsid w:val="01BD0AF0"/>
    <w:rsid w:val="01CA216C"/>
    <w:rsid w:val="01F77149"/>
    <w:rsid w:val="02615062"/>
    <w:rsid w:val="02BB660D"/>
    <w:rsid w:val="040556DD"/>
    <w:rsid w:val="05084823"/>
    <w:rsid w:val="052027CE"/>
    <w:rsid w:val="052B0814"/>
    <w:rsid w:val="0553737F"/>
    <w:rsid w:val="055E66C3"/>
    <w:rsid w:val="05E57DDF"/>
    <w:rsid w:val="0644429B"/>
    <w:rsid w:val="08041D76"/>
    <w:rsid w:val="09655DC8"/>
    <w:rsid w:val="098B64A1"/>
    <w:rsid w:val="09B2776D"/>
    <w:rsid w:val="09F14739"/>
    <w:rsid w:val="0A8C3C5A"/>
    <w:rsid w:val="0B145FD1"/>
    <w:rsid w:val="0B4E3BB1"/>
    <w:rsid w:val="0B805F69"/>
    <w:rsid w:val="0B834821"/>
    <w:rsid w:val="0BAE21B6"/>
    <w:rsid w:val="0BBA0B5B"/>
    <w:rsid w:val="0BF70001"/>
    <w:rsid w:val="0D5E7858"/>
    <w:rsid w:val="0DBD6915"/>
    <w:rsid w:val="0DE620DB"/>
    <w:rsid w:val="0E0E518E"/>
    <w:rsid w:val="0E653757"/>
    <w:rsid w:val="0ED07A7C"/>
    <w:rsid w:val="0EF324E5"/>
    <w:rsid w:val="0FC01DDD"/>
    <w:rsid w:val="0FC2411A"/>
    <w:rsid w:val="103C2486"/>
    <w:rsid w:val="1066305F"/>
    <w:rsid w:val="1092654A"/>
    <w:rsid w:val="10DC01C8"/>
    <w:rsid w:val="116503A8"/>
    <w:rsid w:val="11924EB2"/>
    <w:rsid w:val="125850E3"/>
    <w:rsid w:val="13370CE3"/>
    <w:rsid w:val="13394A5B"/>
    <w:rsid w:val="133F76F0"/>
    <w:rsid w:val="13497394"/>
    <w:rsid w:val="13704662"/>
    <w:rsid w:val="13814630"/>
    <w:rsid w:val="13DF3FC3"/>
    <w:rsid w:val="147C121E"/>
    <w:rsid w:val="14A409DB"/>
    <w:rsid w:val="15335936"/>
    <w:rsid w:val="15625621"/>
    <w:rsid w:val="15F441A8"/>
    <w:rsid w:val="16377978"/>
    <w:rsid w:val="16A60816"/>
    <w:rsid w:val="17F26FAE"/>
    <w:rsid w:val="18687FAE"/>
    <w:rsid w:val="187A7FF0"/>
    <w:rsid w:val="18B43502"/>
    <w:rsid w:val="19DC7BC1"/>
    <w:rsid w:val="1AC856F5"/>
    <w:rsid w:val="1BD877D9"/>
    <w:rsid w:val="1BD94DAD"/>
    <w:rsid w:val="1D54216D"/>
    <w:rsid w:val="1E3356E8"/>
    <w:rsid w:val="1E3F6127"/>
    <w:rsid w:val="1E803E86"/>
    <w:rsid w:val="1EDB5833"/>
    <w:rsid w:val="1FD86743"/>
    <w:rsid w:val="201D7DBD"/>
    <w:rsid w:val="20636C63"/>
    <w:rsid w:val="214F7B26"/>
    <w:rsid w:val="21546A66"/>
    <w:rsid w:val="21693711"/>
    <w:rsid w:val="219420A8"/>
    <w:rsid w:val="21C76FCD"/>
    <w:rsid w:val="21FD7BFC"/>
    <w:rsid w:val="226E4C36"/>
    <w:rsid w:val="22876A1A"/>
    <w:rsid w:val="24134AB9"/>
    <w:rsid w:val="2437495C"/>
    <w:rsid w:val="24857B00"/>
    <w:rsid w:val="24BC54EC"/>
    <w:rsid w:val="24C32548"/>
    <w:rsid w:val="24E52C95"/>
    <w:rsid w:val="25F859A0"/>
    <w:rsid w:val="26030B51"/>
    <w:rsid w:val="260852E0"/>
    <w:rsid w:val="267B565F"/>
    <w:rsid w:val="26A459E8"/>
    <w:rsid w:val="270D1AB7"/>
    <w:rsid w:val="27201D62"/>
    <w:rsid w:val="273D0B66"/>
    <w:rsid w:val="27A6495D"/>
    <w:rsid w:val="29CE6BF9"/>
    <w:rsid w:val="2A680F3D"/>
    <w:rsid w:val="2AC57FFB"/>
    <w:rsid w:val="2AED7E1E"/>
    <w:rsid w:val="2B786D91"/>
    <w:rsid w:val="2BDC0C36"/>
    <w:rsid w:val="2C041E33"/>
    <w:rsid w:val="2C516D69"/>
    <w:rsid w:val="2D2B3E3E"/>
    <w:rsid w:val="2D426ED6"/>
    <w:rsid w:val="2D7524E6"/>
    <w:rsid w:val="2D7D5F35"/>
    <w:rsid w:val="2DED4B36"/>
    <w:rsid w:val="2E02101A"/>
    <w:rsid w:val="2E0A38E3"/>
    <w:rsid w:val="2E8928E3"/>
    <w:rsid w:val="2ED55B28"/>
    <w:rsid w:val="2F5D0544"/>
    <w:rsid w:val="301A0151"/>
    <w:rsid w:val="3034062C"/>
    <w:rsid w:val="305C705B"/>
    <w:rsid w:val="306B49F6"/>
    <w:rsid w:val="30B8300C"/>
    <w:rsid w:val="30BD408D"/>
    <w:rsid w:val="31C72C2F"/>
    <w:rsid w:val="327114A6"/>
    <w:rsid w:val="32CC51D0"/>
    <w:rsid w:val="34DF325D"/>
    <w:rsid w:val="355A64D2"/>
    <w:rsid w:val="356E302D"/>
    <w:rsid w:val="35FA4AC4"/>
    <w:rsid w:val="360C12AD"/>
    <w:rsid w:val="36421CF5"/>
    <w:rsid w:val="36825B67"/>
    <w:rsid w:val="36954945"/>
    <w:rsid w:val="3753785A"/>
    <w:rsid w:val="37A147F9"/>
    <w:rsid w:val="37A14BDC"/>
    <w:rsid w:val="37A95DA4"/>
    <w:rsid w:val="38CA4224"/>
    <w:rsid w:val="396F5305"/>
    <w:rsid w:val="39842583"/>
    <w:rsid w:val="3A07396B"/>
    <w:rsid w:val="3A255BB6"/>
    <w:rsid w:val="3A757783"/>
    <w:rsid w:val="3A8859F9"/>
    <w:rsid w:val="3AB94550"/>
    <w:rsid w:val="3B607EC1"/>
    <w:rsid w:val="3B82689F"/>
    <w:rsid w:val="3BD83E51"/>
    <w:rsid w:val="3CA51C1E"/>
    <w:rsid w:val="3D0B21A9"/>
    <w:rsid w:val="3DD0408A"/>
    <w:rsid w:val="3E752DC9"/>
    <w:rsid w:val="3FF83425"/>
    <w:rsid w:val="40203595"/>
    <w:rsid w:val="408B24EB"/>
    <w:rsid w:val="41546D80"/>
    <w:rsid w:val="415D3E87"/>
    <w:rsid w:val="41A53F56"/>
    <w:rsid w:val="41AD4E8E"/>
    <w:rsid w:val="42291FBB"/>
    <w:rsid w:val="42380450"/>
    <w:rsid w:val="428D0D7A"/>
    <w:rsid w:val="42D54C4D"/>
    <w:rsid w:val="42DE0FF8"/>
    <w:rsid w:val="443474E0"/>
    <w:rsid w:val="444C6312"/>
    <w:rsid w:val="445C6678"/>
    <w:rsid w:val="449F54C0"/>
    <w:rsid w:val="44A8542F"/>
    <w:rsid w:val="44B6565C"/>
    <w:rsid w:val="456B5570"/>
    <w:rsid w:val="45810E43"/>
    <w:rsid w:val="466E3045"/>
    <w:rsid w:val="4684760A"/>
    <w:rsid w:val="46B207D1"/>
    <w:rsid w:val="46DC2BC3"/>
    <w:rsid w:val="472E3198"/>
    <w:rsid w:val="47325377"/>
    <w:rsid w:val="47507EB1"/>
    <w:rsid w:val="4760647F"/>
    <w:rsid w:val="47701925"/>
    <w:rsid w:val="4867383D"/>
    <w:rsid w:val="48CF1AED"/>
    <w:rsid w:val="49664A06"/>
    <w:rsid w:val="49B900C8"/>
    <w:rsid w:val="4AAF797E"/>
    <w:rsid w:val="4AD622C0"/>
    <w:rsid w:val="4B046ED0"/>
    <w:rsid w:val="4B2B6DA4"/>
    <w:rsid w:val="4B9D04D7"/>
    <w:rsid w:val="4BA43FBA"/>
    <w:rsid w:val="4BAF1783"/>
    <w:rsid w:val="4C582C53"/>
    <w:rsid w:val="4CD82061"/>
    <w:rsid w:val="4D4001B9"/>
    <w:rsid w:val="4D433F84"/>
    <w:rsid w:val="4D50664E"/>
    <w:rsid w:val="4E290A02"/>
    <w:rsid w:val="4E7C3473"/>
    <w:rsid w:val="4E853A23"/>
    <w:rsid w:val="4F500606"/>
    <w:rsid w:val="4F785239"/>
    <w:rsid w:val="4FC23B75"/>
    <w:rsid w:val="4FD95020"/>
    <w:rsid w:val="5080765E"/>
    <w:rsid w:val="509D5C5F"/>
    <w:rsid w:val="50AA111F"/>
    <w:rsid w:val="51E01C21"/>
    <w:rsid w:val="52F56DBE"/>
    <w:rsid w:val="5302488E"/>
    <w:rsid w:val="53263C0C"/>
    <w:rsid w:val="54774E08"/>
    <w:rsid w:val="54EC75A4"/>
    <w:rsid w:val="553D2826"/>
    <w:rsid w:val="55BD684B"/>
    <w:rsid w:val="561C13CB"/>
    <w:rsid w:val="56210721"/>
    <w:rsid w:val="56E919B9"/>
    <w:rsid w:val="578155EF"/>
    <w:rsid w:val="57CB0088"/>
    <w:rsid w:val="57FC74F5"/>
    <w:rsid w:val="596468E9"/>
    <w:rsid w:val="59745DBA"/>
    <w:rsid w:val="59ED6194"/>
    <w:rsid w:val="59F15ACE"/>
    <w:rsid w:val="5B1E19C0"/>
    <w:rsid w:val="5B395A82"/>
    <w:rsid w:val="5B7C4516"/>
    <w:rsid w:val="5B841BB9"/>
    <w:rsid w:val="5B9F4616"/>
    <w:rsid w:val="5BD668B8"/>
    <w:rsid w:val="5BDE39BF"/>
    <w:rsid w:val="5D0C36C3"/>
    <w:rsid w:val="5D24510E"/>
    <w:rsid w:val="5D3E1D04"/>
    <w:rsid w:val="5D9A2252"/>
    <w:rsid w:val="5DD35E0B"/>
    <w:rsid w:val="5E2E29DB"/>
    <w:rsid w:val="5E8545C5"/>
    <w:rsid w:val="5EC809F4"/>
    <w:rsid w:val="5ECC3FA2"/>
    <w:rsid w:val="5ED35331"/>
    <w:rsid w:val="5F1818BF"/>
    <w:rsid w:val="5F2B2A77"/>
    <w:rsid w:val="5F487ACD"/>
    <w:rsid w:val="5F6A3B63"/>
    <w:rsid w:val="603F4A02"/>
    <w:rsid w:val="604F4E8B"/>
    <w:rsid w:val="60EB4BB4"/>
    <w:rsid w:val="62AC472E"/>
    <w:rsid w:val="63C427FD"/>
    <w:rsid w:val="63E562C2"/>
    <w:rsid w:val="64434207"/>
    <w:rsid w:val="644A5BFB"/>
    <w:rsid w:val="649679DF"/>
    <w:rsid w:val="64C85426"/>
    <w:rsid w:val="64CF0321"/>
    <w:rsid w:val="65644F35"/>
    <w:rsid w:val="65876E75"/>
    <w:rsid w:val="669453A6"/>
    <w:rsid w:val="66D04197"/>
    <w:rsid w:val="672804FC"/>
    <w:rsid w:val="67991669"/>
    <w:rsid w:val="68246BFD"/>
    <w:rsid w:val="68A32B48"/>
    <w:rsid w:val="68EC4BC4"/>
    <w:rsid w:val="6A4D43B8"/>
    <w:rsid w:val="6A8D37D7"/>
    <w:rsid w:val="6AD20325"/>
    <w:rsid w:val="6BF55889"/>
    <w:rsid w:val="6C1406A2"/>
    <w:rsid w:val="6C1F3525"/>
    <w:rsid w:val="6C767210"/>
    <w:rsid w:val="6CA672D2"/>
    <w:rsid w:val="6D2B26D1"/>
    <w:rsid w:val="6D6C3D35"/>
    <w:rsid w:val="6DB63E53"/>
    <w:rsid w:val="6E1D2C52"/>
    <w:rsid w:val="6E82070E"/>
    <w:rsid w:val="6E902A69"/>
    <w:rsid w:val="6EFD7139"/>
    <w:rsid w:val="6F0B01CF"/>
    <w:rsid w:val="70787102"/>
    <w:rsid w:val="708B4D5C"/>
    <w:rsid w:val="723A6707"/>
    <w:rsid w:val="72442376"/>
    <w:rsid w:val="72BD3F91"/>
    <w:rsid w:val="72C377F4"/>
    <w:rsid w:val="73137F9A"/>
    <w:rsid w:val="73412F68"/>
    <w:rsid w:val="73445ECA"/>
    <w:rsid w:val="73C51294"/>
    <w:rsid w:val="73EA2176"/>
    <w:rsid w:val="744D0FEF"/>
    <w:rsid w:val="759977E2"/>
    <w:rsid w:val="75AD102D"/>
    <w:rsid w:val="75BA7197"/>
    <w:rsid w:val="764861AD"/>
    <w:rsid w:val="770F5F97"/>
    <w:rsid w:val="779C184E"/>
    <w:rsid w:val="77E0259C"/>
    <w:rsid w:val="78280961"/>
    <w:rsid w:val="794F06AD"/>
    <w:rsid w:val="7A923E9A"/>
    <w:rsid w:val="7AA15452"/>
    <w:rsid w:val="7B5D7B47"/>
    <w:rsid w:val="7B8D1379"/>
    <w:rsid w:val="7BC260B9"/>
    <w:rsid w:val="7CA547CE"/>
    <w:rsid w:val="7CD95DB0"/>
    <w:rsid w:val="7DF64125"/>
    <w:rsid w:val="7F2C014E"/>
    <w:rsid w:val="7F3F5B0F"/>
    <w:rsid w:val="7F686F78"/>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23</Pages>
  <Words>8594</Words>
  <Characters>8958</Characters>
  <Lines>12</Lines>
  <Paragraphs>3</Paragraphs>
  <ScaleCrop>false</ScaleCrop>
  <LinksUpToDate>false</LinksUpToDate>
  <CharactersWithSpaces>9972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2025-05-09T00:29:15Z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91AB4AF8FFE64E2F89CA67AD9D6BA0F0_13</vt:lpwstr>
  </property>
  <property fmtid="{D5CDD505-2E9C-101B-9397-08002B2CF9AE}" pid="4" name="KSOTemplateDocerSaveRecord">
    <vt:lpwstr>eyJoZGlkIjoiZmU5YWNjNDNmNDM0MmNmY2I1NWY2YjYxNGZmM2Y2MjAiLCJ1c2VySWQiOiIxNTE0MDc2NTc3In0=</vt:lpwstr>
  </property>
</Properties>
</file>