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护士毛衣常规</w:t>
      </w:r>
      <w:r>
        <w:rPr>
          <w:rFonts w:hint="eastAsia" w:ascii="方正仿宋_GBK" w:hAnsi="方正仿宋_GBK" w:eastAsia="方正仿宋_GBK" w:cs="方正仿宋_GBK"/>
          <w:b/>
          <w:bCs/>
          <w:color w:val="000000"/>
          <w:sz w:val="28"/>
          <w:szCs w:val="28"/>
        </w:rPr>
        <w:t>采购</w:t>
      </w:r>
      <w:r>
        <w:rPr>
          <w:rFonts w:hint="eastAsia" w:ascii="方正仿宋_GBK" w:hAnsi="方正仿宋_GBK" w:eastAsia="方正仿宋_GBK" w:cs="方正仿宋_GBK"/>
          <w:b/>
          <w:bCs/>
          <w:color w:val="000000"/>
          <w:sz w:val="28"/>
          <w:szCs w:val="28"/>
          <w:lang w:val="en-US" w:eastAsia="zh-CN"/>
        </w:rPr>
        <w:t>需求文件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护士毛衣</w:t>
      </w:r>
      <w:r>
        <w:rPr>
          <w:rFonts w:hint="eastAsia" w:ascii="方正仿宋_GBK" w:hAnsi="方正仿宋_GBK" w:eastAsia="方正仿宋_GBK" w:cs="方正仿宋_GBK"/>
          <w:b w:val="0"/>
          <w:bCs w:val="0"/>
          <w:color w:val="000000"/>
          <w:sz w:val="24"/>
          <w:szCs w:val="24"/>
          <w:lang w:val="en-US" w:eastAsia="zh-CN"/>
        </w:rPr>
        <w:t>常规采购</w:t>
      </w: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5295"/>
      <w:bookmarkStart w:id="2" w:name="_Toc16790"/>
      <w:r>
        <w:rPr>
          <w:rFonts w:hint="eastAsia" w:ascii="方正仿宋_GBK" w:hAnsi="方正仿宋_GBK" w:eastAsia="方正仿宋_GBK" w:cs="方正仿宋_GBK"/>
          <w:b/>
          <w:bCs/>
          <w:color w:val="000000"/>
          <w:sz w:val="24"/>
          <w:szCs w:val="24"/>
        </w:rPr>
        <w:t>一、</w:t>
      </w:r>
      <w:r>
        <w:rPr>
          <w:rFonts w:hint="eastAsia" w:ascii="方正仿宋_GBK" w:hAnsi="方正仿宋_GBK" w:eastAsia="方正仿宋_GBK" w:cs="方正仿宋_GBK"/>
          <w:b/>
          <w:bCs/>
          <w:color w:val="000000"/>
          <w:sz w:val="24"/>
          <w:szCs w:val="24"/>
          <w:lang w:val="en-US" w:eastAsia="zh-CN"/>
        </w:rPr>
        <w:t>项目</w:t>
      </w:r>
      <w:r>
        <w:rPr>
          <w:rFonts w:hint="eastAsia" w:ascii="方正仿宋_GBK" w:hAnsi="方正仿宋_GBK" w:eastAsia="方正仿宋_GBK" w:cs="方正仿宋_GBK"/>
          <w:b/>
          <w:bCs/>
          <w:color w:val="000000"/>
          <w:sz w:val="24"/>
          <w:szCs w:val="24"/>
        </w:rPr>
        <w:t>内容</w:t>
      </w:r>
      <w:bookmarkEnd w:id="1"/>
      <w:bookmarkEnd w:id="2"/>
    </w:p>
    <w:tbl>
      <w:tblPr>
        <w:tblStyle w:val="15"/>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1800"/>
        <w:gridCol w:w="1837"/>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305"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内容</w:t>
            </w:r>
          </w:p>
        </w:tc>
        <w:tc>
          <w:tcPr>
            <w:tcW w:w="180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项目单价限价</w:t>
            </w:r>
          </w:p>
        </w:tc>
        <w:tc>
          <w:tcPr>
            <w:tcW w:w="1837"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292"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护士毛衣常规采购</w:t>
            </w:r>
          </w:p>
        </w:tc>
        <w:tc>
          <w:tcPr>
            <w:tcW w:w="180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100元/件</w:t>
            </w:r>
          </w:p>
        </w:tc>
        <w:tc>
          <w:tcPr>
            <w:tcW w:w="1837"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后勤保障科</w:t>
            </w:r>
          </w:p>
        </w:tc>
        <w:tc>
          <w:tcPr>
            <w:tcW w:w="2292"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 xml:space="preserve"> </w:t>
      </w: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bookmarkStart w:id="8" w:name="_Toc11412"/>
      <w:bookmarkStart w:id="9" w:name="_Toc17509"/>
      <w:bookmarkStart w:id="10" w:name="_Toc1965"/>
      <w:bookmarkStart w:id="11" w:name="_Toc3976"/>
      <w:bookmarkStart w:id="12" w:name="_Toc3374"/>
      <w:bookmarkStart w:id="13" w:name="_Toc22548773"/>
      <w:bookmarkStart w:id="14" w:name="_Toc6178"/>
      <w:bookmarkStart w:id="15" w:name="_Toc26564"/>
      <w:bookmarkStart w:id="16" w:name="_Toc9401"/>
      <w:bookmarkStart w:id="17" w:name="_Toc21930"/>
      <w:r>
        <w:rPr>
          <w:rFonts w:hint="eastAsia" w:ascii="方正仿宋_GBK" w:hAnsi="方正仿宋_GBK" w:eastAsia="方正仿宋_GBK" w:cs="方正仿宋_GBK"/>
          <w:b/>
          <w:bCs/>
          <w:color w:val="000000"/>
          <w:sz w:val="24"/>
          <w:szCs w:val="24"/>
          <w:lang w:val="en-US" w:eastAsia="zh-CN"/>
        </w:rPr>
        <w:t>四、技术要求</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（一）判断依据：GB18401-2010《国家纺织产品基本安全技术规范》B类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（二）技术参数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drawing>
          <wp:anchor distT="0" distB="0" distL="114300" distR="114300" simplePos="0" relativeHeight="251659264" behindDoc="1" locked="0" layoutInCell="1" allowOverlap="1">
            <wp:simplePos x="0" y="0"/>
            <wp:positionH relativeFrom="column">
              <wp:posOffset>4411980</wp:posOffset>
            </wp:positionH>
            <wp:positionV relativeFrom="paragraph">
              <wp:posOffset>194310</wp:posOffset>
            </wp:positionV>
            <wp:extent cx="1555115" cy="1647825"/>
            <wp:effectExtent l="0" t="0" r="0" b="0"/>
            <wp:wrapTight wrapText="bothSides">
              <wp:wrapPolygon>
                <wp:start x="0" y="0"/>
                <wp:lineTo x="0" y="21475"/>
                <wp:lineTo x="21432" y="21475"/>
                <wp:lineTo x="21432"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1555115" cy="1647825"/>
                    </a:xfrm>
                    <a:prstGeom prst="rect">
                      <a:avLst/>
                    </a:prstGeom>
                    <a:noFill/>
                    <a:ln>
                      <a:noFill/>
                    </a:ln>
                  </pic:spPr>
                </pic:pic>
              </a:graphicData>
            </a:graphic>
          </wp:anchor>
        </w:drawing>
      </w:r>
      <w:r>
        <w:rPr>
          <w:rFonts w:hint="eastAsia" w:ascii="方正仿宋_GBK" w:hAnsi="方正仿宋_GBK" w:eastAsia="方正仿宋_GBK" w:cs="方正仿宋_GBK"/>
          <w:b w:val="0"/>
          <w:bCs w:val="0"/>
          <w:color w:val="000000"/>
          <w:sz w:val="24"/>
          <w:szCs w:val="24"/>
          <w:lang w:val="en-US" w:eastAsia="zh-CN"/>
        </w:rPr>
        <w:t>1.</w:t>
      </w:r>
      <w:r>
        <w:rPr>
          <w:rFonts w:hint="default" w:ascii="方正仿宋_GBK" w:hAnsi="方正仿宋_GBK" w:eastAsia="方正仿宋_GBK" w:cs="方正仿宋_GBK"/>
          <w:b w:val="0"/>
          <w:bCs w:val="0"/>
          <w:color w:val="000000"/>
          <w:sz w:val="24"/>
          <w:szCs w:val="24"/>
          <w:lang w:val="en-US" w:eastAsia="zh-CN"/>
        </w:rPr>
        <w:t>纤维含量(%)</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面料：腈纶</w:t>
      </w:r>
      <w:r>
        <w:rPr>
          <w:rFonts w:hint="eastAsia" w:ascii="方正仿宋_GBK" w:hAnsi="方正仿宋_GBK" w:eastAsia="方正仿宋_GBK" w:cs="方正仿宋_GBK"/>
          <w:b w:val="0"/>
          <w:bCs w:val="0"/>
          <w:color w:val="000000"/>
          <w:sz w:val="24"/>
          <w:szCs w:val="24"/>
          <w:lang w:val="en-US" w:eastAsia="zh-CN"/>
        </w:rPr>
        <w:t>55（±5），棉羊毛45（±5）；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2.</w:t>
      </w:r>
      <w:r>
        <w:rPr>
          <w:rFonts w:hint="default" w:ascii="方正仿宋_GBK" w:hAnsi="方正仿宋_GBK" w:eastAsia="方正仿宋_GBK" w:cs="方正仿宋_GBK"/>
          <w:b w:val="0"/>
          <w:bCs w:val="0"/>
          <w:color w:val="000000"/>
          <w:sz w:val="24"/>
          <w:szCs w:val="24"/>
          <w:lang w:val="en-US" w:eastAsia="zh-CN"/>
        </w:rPr>
        <w:t>耐水色牢度(级)</w:t>
      </w:r>
      <w:r>
        <w:rPr>
          <w:rFonts w:hint="default" w:ascii="方正仿宋_GBK" w:hAnsi="方正仿宋_GBK" w:eastAsia="方正仿宋_GBK" w:cs="方正仿宋_GBK"/>
          <w:b w:val="0"/>
          <w:bCs w:val="0"/>
          <w:color w:val="000000"/>
          <w:sz w:val="24"/>
          <w:szCs w:val="24"/>
          <w:lang w:val="en-US" w:eastAsia="zh-CN"/>
        </w:rPr>
        <w:tab/>
      </w:r>
      <w:r>
        <w:rPr>
          <w:rFonts w:hint="default" w:ascii="方正仿宋_GBK" w:hAnsi="方正仿宋_GBK" w:eastAsia="方正仿宋_GBK" w:cs="方正仿宋_GBK"/>
          <w:b w:val="0"/>
          <w:bCs w:val="0"/>
          <w:color w:val="000000"/>
          <w:sz w:val="24"/>
          <w:szCs w:val="24"/>
          <w:lang w:val="en-US" w:eastAsia="zh-CN"/>
        </w:rPr>
        <w:t>变色≥</w:t>
      </w:r>
      <w:r>
        <w:rPr>
          <w:rFonts w:hint="eastAsia" w:ascii="方正仿宋_GBK" w:hAnsi="方正仿宋_GBK" w:eastAsia="方正仿宋_GBK" w:cs="方正仿宋_GBK"/>
          <w:b w:val="0"/>
          <w:bCs w:val="0"/>
          <w:color w:val="000000"/>
          <w:sz w:val="24"/>
          <w:szCs w:val="24"/>
          <w:lang w:val="en-US" w:eastAsia="zh-CN"/>
        </w:rPr>
        <w:t>4，</w:t>
      </w:r>
      <w:r>
        <w:rPr>
          <w:rFonts w:hint="default" w:ascii="方正仿宋_GBK" w:hAnsi="方正仿宋_GBK" w:eastAsia="方正仿宋_GBK" w:cs="方正仿宋_GBK"/>
          <w:b w:val="0"/>
          <w:bCs w:val="0"/>
          <w:color w:val="000000"/>
          <w:sz w:val="24"/>
          <w:szCs w:val="24"/>
          <w:lang w:val="en-US" w:eastAsia="zh-CN"/>
        </w:rPr>
        <w:t>沾色≥</w:t>
      </w:r>
      <w:r>
        <w:rPr>
          <w:rFonts w:hint="eastAsia" w:ascii="方正仿宋_GBK" w:hAnsi="方正仿宋_GBK" w:eastAsia="方正仿宋_GBK" w:cs="方正仿宋_GBK"/>
          <w:b w:val="0"/>
          <w:bCs w:val="0"/>
          <w:color w:val="000000"/>
          <w:sz w:val="24"/>
          <w:szCs w:val="24"/>
          <w:lang w:val="en-US" w:eastAsia="zh-CN"/>
        </w:rPr>
        <w:t>4；</w:t>
      </w:r>
      <w:r>
        <w:rPr>
          <w:rFonts w:hint="default" w:ascii="方正仿宋_GBK" w:hAnsi="方正仿宋_GBK" w:eastAsia="方正仿宋_GBK" w:cs="方正仿宋_GBK"/>
          <w:b w:val="0"/>
          <w:bCs w:val="0"/>
          <w:color w:val="00000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3.</w:t>
      </w:r>
      <w:r>
        <w:rPr>
          <w:rFonts w:hint="default" w:ascii="方正仿宋_GBK" w:hAnsi="方正仿宋_GBK" w:eastAsia="方正仿宋_GBK" w:cs="方正仿宋_GBK"/>
          <w:b w:val="0"/>
          <w:bCs w:val="0"/>
          <w:color w:val="000000"/>
          <w:sz w:val="24"/>
          <w:szCs w:val="24"/>
          <w:lang w:val="en-US" w:eastAsia="zh-CN"/>
        </w:rPr>
        <w:t>耐酸汗渍色牢度(级)</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变色≥</w:t>
      </w:r>
      <w:r>
        <w:rPr>
          <w:rFonts w:hint="eastAsia" w:ascii="方正仿宋_GBK" w:hAnsi="方正仿宋_GBK" w:eastAsia="方正仿宋_GBK" w:cs="方正仿宋_GBK"/>
          <w:b w:val="0"/>
          <w:bCs w:val="0"/>
          <w:color w:val="000000"/>
          <w:sz w:val="24"/>
          <w:szCs w:val="24"/>
          <w:lang w:val="en-US" w:eastAsia="zh-CN"/>
        </w:rPr>
        <w:t>4，</w:t>
      </w:r>
      <w:r>
        <w:rPr>
          <w:rFonts w:hint="default" w:ascii="方正仿宋_GBK" w:hAnsi="方正仿宋_GBK" w:eastAsia="方正仿宋_GBK" w:cs="方正仿宋_GBK"/>
          <w:b w:val="0"/>
          <w:bCs w:val="0"/>
          <w:color w:val="000000"/>
          <w:sz w:val="24"/>
          <w:szCs w:val="24"/>
          <w:lang w:val="en-US" w:eastAsia="zh-CN"/>
        </w:rPr>
        <w:t>沾色≥</w:t>
      </w:r>
      <w:r>
        <w:rPr>
          <w:rFonts w:hint="eastAsia" w:ascii="方正仿宋_GBK" w:hAnsi="方正仿宋_GBK" w:eastAsia="方正仿宋_GBK" w:cs="方正仿宋_GBK"/>
          <w:b w:val="0"/>
          <w:bCs w:val="0"/>
          <w:color w:val="000000"/>
          <w:sz w:val="24"/>
          <w:szCs w:val="24"/>
          <w:lang w:val="en-US" w:eastAsia="zh-CN"/>
        </w:rPr>
        <w:t>4；</w:t>
      </w:r>
      <w:r>
        <w:rPr>
          <w:rFonts w:hint="default" w:ascii="方正仿宋_GBK" w:hAnsi="方正仿宋_GBK" w:eastAsia="方正仿宋_GBK" w:cs="方正仿宋_GBK"/>
          <w:b w:val="0"/>
          <w:bCs w:val="0"/>
          <w:color w:val="00000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4.</w:t>
      </w:r>
      <w:r>
        <w:rPr>
          <w:rFonts w:hint="default" w:ascii="方正仿宋_GBK" w:hAnsi="方正仿宋_GBK" w:eastAsia="方正仿宋_GBK" w:cs="方正仿宋_GBK"/>
          <w:b w:val="0"/>
          <w:bCs w:val="0"/>
          <w:color w:val="000000"/>
          <w:sz w:val="24"/>
          <w:szCs w:val="24"/>
          <w:lang w:val="en-US" w:eastAsia="zh-CN"/>
        </w:rPr>
        <w:t>耐碱汗渍色牢度(级)</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变色≥</w:t>
      </w:r>
      <w:r>
        <w:rPr>
          <w:rFonts w:hint="eastAsia" w:ascii="方正仿宋_GBK" w:hAnsi="方正仿宋_GBK" w:eastAsia="方正仿宋_GBK" w:cs="方正仿宋_GBK"/>
          <w:b w:val="0"/>
          <w:bCs w:val="0"/>
          <w:color w:val="000000"/>
          <w:sz w:val="24"/>
          <w:szCs w:val="24"/>
          <w:lang w:val="en-US" w:eastAsia="zh-CN"/>
        </w:rPr>
        <w:t>4，</w:t>
      </w:r>
      <w:r>
        <w:rPr>
          <w:rFonts w:hint="default" w:ascii="方正仿宋_GBK" w:hAnsi="方正仿宋_GBK" w:eastAsia="方正仿宋_GBK" w:cs="方正仿宋_GBK"/>
          <w:b w:val="0"/>
          <w:bCs w:val="0"/>
          <w:color w:val="000000"/>
          <w:sz w:val="24"/>
          <w:szCs w:val="24"/>
          <w:lang w:val="en-US" w:eastAsia="zh-CN"/>
        </w:rPr>
        <w:t>沾色≥</w:t>
      </w:r>
      <w:r>
        <w:rPr>
          <w:rFonts w:hint="eastAsia" w:ascii="方正仿宋_GBK" w:hAnsi="方正仿宋_GBK" w:eastAsia="方正仿宋_GBK" w:cs="方正仿宋_GBK"/>
          <w:b w:val="0"/>
          <w:bCs w:val="0"/>
          <w:color w:val="000000"/>
          <w:sz w:val="24"/>
          <w:szCs w:val="24"/>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5.</w:t>
      </w:r>
      <w:r>
        <w:rPr>
          <w:rFonts w:hint="default" w:ascii="方正仿宋_GBK" w:hAnsi="方正仿宋_GBK" w:eastAsia="方正仿宋_GBK" w:cs="方正仿宋_GBK"/>
          <w:b w:val="0"/>
          <w:bCs w:val="0"/>
          <w:color w:val="000000"/>
          <w:sz w:val="24"/>
          <w:szCs w:val="24"/>
          <w:lang w:val="en-US" w:eastAsia="zh-CN"/>
        </w:rPr>
        <w:t>耐摩擦色牢度(级)</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干摩≥</w:t>
      </w:r>
      <w:r>
        <w:rPr>
          <w:rFonts w:hint="eastAsia" w:ascii="方正仿宋_GBK" w:hAnsi="方正仿宋_GBK" w:eastAsia="方正仿宋_GBK" w:cs="方正仿宋_GBK"/>
          <w:b w:val="0"/>
          <w:bCs w:val="0"/>
          <w:color w:val="000000"/>
          <w:sz w:val="24"/>
          <w:szCs w:val="24"/>
          <w:lang w:val="en-US" w:eastAsia="zh-CN"/>
        </w:rPr>
        <w:t>4；</w:t>
      </w:r>
      <w:r>
        <w:rPr>
          <w:rFonts w:hint="default" w:ascii="方正仿宋_GBK" w:hAnsi="方正仿宋_GBK" w:eastAsia="方正仿宋_GBK" w:cs="方正仿宋_GBK"/>
          <w:b w:val="0"/>
          <w:bCs w:val="0"/>
          <w:color w:val="00000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6.</w:t>
      </w:r>
      <w:r>
        <w:rPr>
          <w:rFonts w:hint="default" w:ascii="方正仿宋_GBK" w:hAnsi="方正仿宋_GBK" w:eastAsia="方正仿宋_GBK" w:cs="方正仿宋_GBK"/>
          <w:b w:val="0"/>
          <w:bCs w:val="0"/>
          <w:color w:val="000000"/>
          <w:sz w:val="24"/>
          <w:szCs w:val="24"/>
          <w:lang w:val="en-US" w:eastAsia="zh-CN"/>
        </w:rPr>
        <w:t>甲醛含量(mg/kg)</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≤75</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7.</w:t>
      </w:r>
      <w:r>
        <w:rPr>
          <w:rFonts w:hint="default" w:ascii="方正仿宋_GBK" w:hAnsi="方正仿宋_GBK" w:eastAsia="方正仿宋_GBK" w:cs="方正仿宋_GBK"/>
          <w:b w:val="0"/>
          <w:bCs w:val="0"/>
          <w:color w:val="000000"/>
          <w:sz w:val="24"/>
          <w:szCs w:val="24"/>
          <w:lang w:val="en-US" w:eastAsia="zh-CN"/>
        </w:rPr>
        <w:t>pH值</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4.0~8.5</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8.</w:t>
      </w:r>
      <w:r>
        <w:rPr>
          <w:rFonts w:hint="default" w:ascii="方正仿宋_GBK" w:hAnsi="方正仿宋_GBK" w:eastAsia="方正仿宋_GBK" w:cs="方正仿宋_GBK"/>
          <w:b w:val="0"/>
          <w:bCs w:val="0"/>
          <w:color w:val="000000"/>
          <w:sz w:val="24"/>
          <w:szCs w:val="24"/>
          <w:lang w:val="en-US" w:eastAsia="zh-CN"/>
        </w:rPr>
        <w:t>异味</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无</w:t>
      </w:r>
      <w:r>
        <w:rPr>
          <w:rFonts w:hint="eastAsia" w:ascii="方正仿宋_GBK" w:hAnsi="方正仿宋_GBK" w:eastAsia="方正仿宋_GBK" w:cs="方正仿宋_GBK"/>
          <w:b w:val="0"/>
          <w:bCs w:val="0"/>
          <w:color w:val="000000"/>
          <w:sz w:val="24"/>
          <w:szCs w:val="24"/>
          <w:lang w:val="en-US" w:eastAsia="zh-CN"/>
        </w:rPr>
        <w:t>；</w:t>
      </w:r>
      <w:r>
        <w:rPr>
          <w:rFonts w:hint="default" w:ascii="方正仿宋_GBK" w:hAnsi="方正仿宋_GBK" w:eastAsia="方正仿宋_GBK" w:cs="方正仿宋_GBK"/>
          <w:b w:val="0"/>
          <w:bCs w:val="0"/>
          <w:color w:val="00000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9.</w:t>
      </w:r>
      <w:r>
        <w:rPr>
          <w:rFonts w:hint="default" w:ascii="方正仿宋_GBK" w:hAnsi="方正仿宋_GBK" w:eastAsia="方正仿宋_GBK" w:cs="方正仿宋_GBK"/>
          <w:b w:val="0"/>
          <w:bCs w:val="0"/>
          <w:color w:val="000000"/>
          <w:sz w:val="24"/>
          <w:szCs w:val="24"/>
          <w:lang w:val="en-US" w:eastAsia="zh-CN"/>
        </w:rPr>
        <w:t>可分解致癌芳香胺染料(mg/kg)</w:t>
      </w:r>
      <w:r>
        <w:rPr>
          <w:rFonts w:hint="default" w:ascii="方正仿宋_GBK" w:hAnsi="方正仿宋_GBK" w:eastAsia="方正仿宋_GBK" w:cs="方正仿宋_GBK"/>
          <w:b w:val="0"/>
          <w:bCs w:val="0"/>
          <w:color w:val="000000"/>
          <w:sz w:val="24"/>
          <w:szCs w:val="24"/>
          <w:lang w:val="en-US" w:eastAsia="zh-CN"/>
        </w:rPr>
        <w:tab/>
      </w:r>
      <w:r>
        <w:rPr>
          <w:rFonts w:hint="eastAsia" w:ascii="方正仿宋_GBK" w:hAnsi="方正仿宋_GBK" w:eastAsia="方正仿宋_GBK" w:cs="方正仿宋_GBK"/>
          <w:b w:val="0"/>
          <w:bCs w:val="0"/>
          <w:color w:val="000000"/>
          <w:sz w:val="24"/>
          <w:szCs w:val="24"/>
          <w:lang w:val="en-US" w:eastAsia="zh-CN"/>
        </w:rPr>
        <w:t>：无。</w:t>
      </w:r>
    </w:p>
    <w:p>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备注：1.以上参数须提供第三方检测机构出具的检验报告，如果未提供，视为不满足；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1200" w:firstLineChars="500"/>
        <w:jc w:val="both"/>
        <w:textAlignment w:val="auto"/>
        <w:outlineLvl w:val="9"/>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kern w:val="2"/>
          <w:sz w:val="24"/>
          <w:szCs w:val="24"/>
          <w:lang w:val="en-US" w:eastAsia="zh-CN" w:bidi="ar-SA"/>
        </w:rPr>
        <w:t>2.护士毛衣参考图样如右上图。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五、商务要求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（一）交货时间、地点及验收方式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1.交货时间：接到采购人发货通知后15个日历日内；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2.交货地点：重庆市第四人民医院内指定地点；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3.交货要求：每次交货时，</w:t>
      </w:r>
      <w:r>
        <w:rPr>
          <w:rFonts w:hint="eastAsia" w:ascii="方正仿宋_GBK" w:hAnsi="方正仿宋_GBK" w:eastAsia="方正仿宋_GBK" w:cs="方正仿宋_GBK"/>
          <w:b w:val="0"/>
          <w:bCs w:val="0"/>
          <w:color w:val="auto"/>
          <w:kern w:val="2"/>
          <w:sz w:val="24"/>
          <w:szCs w:val="24"/>
          <w:lang w:val="en-US" w:eastAsia="zh-CN" w:bidi="ar-SA"/>
        </w:rPr>
        <w:t>须提供该批产品的第三方检测机构出具的检验报告；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4.验收方式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4.1成交供应商实际配送的货物必须与投标时提供的样品一致且符合合同约定标准，不能以次充好或提供假冒伪劣产品。采购人可对送货产品进行抽样送检。对存在不合格产品的，采购人有权拒绝付款并要求成交供应商支付本次送货金额20%的违约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成交供应商应保证所提供产品完好无损的配送至院方指定地点，成交供应商应与采购人指定库管人员共同对产品进行清点交接及验收。如产品有缺漏、破损、残次品；产品数量、规格有误的，采购人拒绝在《送货单》（包括具体产品名称、规格、数量）上签字，成交供应商负责产品的退换，由此造成的所有损失及费用全部由成交供应商承担。若验收无误，双方签字交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4.3成交供应商按照合同要求完成产品配送后，将《送货单》交付采购人，作为付款凭证附件。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（二）合同期限：3年。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（三）报价要求：报价包括完成本项目所需的全部费用，包括但不限于产品价格、材料费、运输费、仓储费、检测费、各种税费等相关所有费用。因供应商自身原因造成漏报、少报皆由其自行承担责任。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2.同一项目不允许出现两个或两个以上报价，采购人不接受任何有选择性的报价。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3.报价中的计价一律采用人民币。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（四）产品质保期：</w:t>
      </w:r>
      <w:r>
        <w:rPr>
          <w:rFonts w:hint="eastAsia" w:ascii="方正仿宋_GBK" w:hAnsi="方正仿宋_GBK" w:eastAsia="方正仿宋_GBK" w:cs="方正仿宋_GBK"/>
          <w:color w:val="auto"/>
          <w:sz w:val="24"/>
          <w:szCs w:val="24"/>
          <w:lang w:val="en-US" w:eastAsia="zh-CN"/>
        </w:rPr>
        <w:t>≥3个月</w:t>
      </w:r>
      <w:r>
        <w:rPr>
          <w:rFonts w:hint="eastAsia" w:ascii="方正仿宋_GBK" w:hAnsi="方正仿宋_GBK" w:eastAsia="方正仿宋_GBK" w:cs="方正仿宋_GBK"/>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售后服务要求：应具有完善的销售供应和售后服务保障体系。对于出现不符合质量标准的产品包退包换；须于接到采购人上述服务通知的1个工作日内，派专业人员上门服务，在3个工作日内保证按要求完成退、换货等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（六）付款方式：</w:t>
      </w:r>
      <w:r>
        <w:rPr>
          <w:rFonts w:hint="eastAsia" w:ascii="方正仿宋_GBK" w:hAnsi="方正仿宋_GBK" w:eastAsia="方正仿宋_GBK" w:cs="方正仿宋_GBK"/>
          <w:color w:val="000000"/>
          <w:sz w:val="24"/>
          <w:szCs w:val="24"/>
          <w:highlight w:val="none"/>
          <w:lang w:val="en-US" w:eastAsia="zh-CN"/>
        </w:rPr>
        <w:t>转账付款；在服务期内，采购人在货到、经双方验收合格，并收到成交供应商开具的符合合同内容的合法有效的发票后支付货款。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（七）所投产品的销售业绩良好。提供所投产品销售业绩的相关证明材料，如销售合同或医院用户名单、联系人及联系电话。</w:t>
      </w:r>
    </w:p>
    <w:bookmarkEnd w:id="8"/>
    <w:bookmarkEnd w:id="9"/>
    <w:bookmarkEnd w:id="10"/>
    <w:bookmarkEnd w:id="11"/>
    <w:bookmarkEnd w:id="12"/>
    <w:bookmarkEnd w:id="13"/>
    <w:bookmarkEnd w:id="14"/>
    <w:bookmarkEnd w:id="15"/>
    <w:bookmarkEnd w:id="16"/>
    <w:bookmarkEnd w:id="17"/>
    <w:p>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六、采购程序、评定成交的标准、无效响应及采购终止</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1.比选按采购文件规定的时间和地点进行。供应商须有法定代表人（或其授权代表）或自然人参加并签到。</w:t>
      </w:r>
    </w:p>
    <w:p>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本项目采购职能部门及比选小组</w:t>
      </w:r>
      <w:r>
        <w:rPr>
          <w:rFonts w:hint="eastAsia" w:ascii="方正仿宋_GBK" w:hAnsi="宋体" w:eastAsia="方正仿宋_GBK"/>
          <w:sz w:val="24"/>
          <w:szCs w:val="24"/>
          <w:highlight w:val="none"/>
        </w:rPr>
        <w:t>对各供应商的资格条件、实质性响应等进行审查</w:t>
      </w:r>
      <w:r>
        <w:rPr>
          <w:rFonts w:hint="eastAsia" w:ascii="方正仿宋_GBK" w:hAnsi="宋体" w:eastAsia="方正仿宋_GBK"/>
          <w:sz w:val="24"/>
          <w:szCs w:val="24"/>
        </w:rPr>
        <w:t>。</w:t>
      </w:r>
    </w:p>
    <w:p>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675" w:type="dxa"/>
            <w:vMerge w:val="restart"/>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pPr>
              <w:spacing w:line="240" w:lineRule="exact"/>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675" w:type="dxa"/>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w:t>
            </w:r>
            <w:r>
              <w:rPr>
                <w:rFonts w:hint="eastAsia" w:ascii="方正仿宋_GBK" w:hAnsi="宋体" w:eastAsia="方正仿宋_GBK" w:cs="仿宋_GB2312"/>
                <w:sz w:val="21"/>
                <w:szCs w:val="21"/>
                <w:lang w:val="en-US" w:eastAsia="zh-CN"/>
              </w:rPr>
              <w:t>报价文件</w:t>
            </w:r>
            <w:r>
              <w:rPr>
                <w:rFonts w:hint="eastAsia" w:ascii="方正仿宋_GBK" w:hAnsi="宋体" w:eastAsia="方正仿宋_GBK" w:cs="仿宋_GB2312"/>
                <w:sz w:val="21"/>
                <w:szCs w:val="21"/>
                <w:lang w:val="zh-CN"/>
              </w:rPr>
              <w:t>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8"/>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比选</w:t>
            </w:r>
            <w:r>
              <w:rPr>
                <w:rFonts w:hint="eastAsia" w:ascii="方正仿宋_GBK" w:hAnsi="宋体" w:eastAsia="方正仿宋_GBK" w:cs="宋体"/>
                <w:kern w:val="0"/>
                <w:sz w:val="21"/>
                <w:szCs w:val="21"/>
              </w:rPr>
              <w:t>有效期</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3.比选</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供应商澄清、说明或者更正响应文件应当以书面形式作出</w:t>
      </w:r>
      <w:r>
        <w:rPr>
          <w:rFonts w:hint="eastAsia" w:ascii="方正仿宋_GBK" w:hAnsi="宋体" w:eastAsia="方正仿宋_GBK"/>
          <w:sz w:val="24"/>
          <w:szCs w:val="24"/>
          <w:lang w:eastAsia="zh-CN"/>
        </w:rPr>
        <w:t>，</w:t>
      </w:r>
      <w:r>
        <w:rPr>
          <w:rFonts w:hint="eastAsia" w:ascii="方正仿宋_GBK" w:hAnsi="宋体" w:eastAsia="方正仿宋_GBK"/>
          <w:sz w:val="24"/>
          <w:szCs w:val="24"/>
        </w:rPr>
        <w:t>应当由法定代表人（或其授权代表）或自然人（供应商为自然人）签署或者加盖公章。由授权代表签署的，应当附法定代表人授权书。供应商为自然人的，应当由本人签署并附身份证明。</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4.在比选过程中任何一方不得向他人透露与比选有关的技术资料、价格或其他信息。</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5.供应商在比选时作出的所有书面承诺须由法定代表人（或其授权代表）或自然人（供应商为自然人）签署。</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所有参加的供应商</w:t>
      </w:r>
      <w:r>
        <w:rPr>
          <w:rFonts w:hint="eastAsia" w:ascii="方正仿宋_GBK" w:hAnsi="宋体" w:eastAsia="方正仿宋_GBK"/>
          <w:sz w:val="24"/>
          <w:szCs w:val="24"/>
          <w:lang w:val="en-US" w:eastAsia="zh-CN"/>
        </w:rPr>
        <w:t>应</w:t>
      </w:r>
      <w:r>
        <w:rPr>
          <w:rFonts w:hint="default" w:ascii="方正仿宋_GBK" w:hAnsi="宋体" w:eastAsia="方正仿宋_GBK"/>
          <w:sz w:val="24"/>
          <w:szCs w:val="24"/>
          <w:lang w:val="en-US" w:eastAsia="zh-CN"/>
        </w:rPr>
        <w:t>在规定时间内同时书面提交最后报价及有关承诺。已提交响应文件但未在规定时间内进行最后报价的供应商，视为放弃最后报价，以供应商响应文件中的报价为准。</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比选</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bookmarkStart w:id="72" w:name="_GoBack"/>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对技术（</w:t>
      </w:r>
      <w:r>
        <w:rPr>
          <w:rFonts w:hint="eastAsia" w:ascii="方正仿宋_GBK" w:hAnsi="宋体" w:eastAsia="方正仿宋_GBK"/>
          <w:sz w:val="24"/>
          <w:szCs w:val="24"/>
          <w:highlight w:val="none"/>
          <w:lang w:val="en-US" w:eastAsia="zh-CN"/>
        </w:rPr>
        <w:t>质量</w:t>
      </w:r>
      <w:r>
        <w:rPr>
          <w:rFonts w:hint="eastAsia" w:ascii="方正仿宋_GBK" w:hAnsi="宋体" w:eastAsia="方正仿宋_GBK"/>
          <w:sz w:val="24"/>
          <w:szCs w:val="24"/>
          <w:highlight w:val="none"/>
        </w:rPr>
        <w:t>）和</w:t>
      </w:r>
      <w:r>
        <w:rPr>
          <w:rFonts w:hint="eastAsia" w:ascii="方正仿宋_GBK" w:hAnsi="宋体" w:eastAsia="方正仿宋_GBK"/>
          <w:sz w:val="24"/>
          <w:szCs w:val="24"/>
          <w:highlight w:val="none"/>
          <w:lang w:val="en-US" w:eastAsia="zh-CN"/>
        </w:rPr>
        <w:t>商务</w:t>
      </w:r>
      <w:r>
        <w:rPr>
          <w:rFonts w:hint="eastAsia" w:ascii="方正仿宋_GBK" w:hAnsi="宋体" w:eastAsia="方正仿宋_GBK"/>
          <w:sz w:val="24"/>
          <w:szCs w:val="24"/>
          <w:highlight w:val="none"/>
        </w:rPr>
        <w:t>均能满足</w:t>
      </w: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实质性响应要求的供应商的报价、</w:t>
      </w:r>
      <w:r>
        <w:rPr>
          <w:rFonts w:hint="eastAsia" w:ascii="方正仿宋_GBK" w:hAnsi="宋体" w:eastAsia="方正仿宋_GBK"/>
          <w:sz w:val="24"/>
          <w:szCs w:val="24"/>
          <w:highlight w:val="none"/>
          <w:lang w:val="en-US" w:eastAsia="zh-CN"/>
        </w:rPr>
        <w:t>产品质量</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售后服务</w:t>
      </w:r>
      <w:r>
        <w:rPr>
          <w:rFonts w:hint="eastAsia" w:ascii="方正仿宋_GBK" w:hAnsi="宋体" w:eastAsia="方正仿宋_GBK"/>
          <w:sz w:val="24"/>
          <w:szCs w:val="24"/>
          <w:highlight w:val="none"/>
        </w:rPr>
        <w:t>等进行综合比较，选择最符合单位采购要求的供应商作为成交供应商。</w:t>
      </w:r>
      <w:bookmarkEnd w:id="72"/>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（三）无效响应</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1.供应商不符合规定的资格条件的；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2.供应商未通过实质性响应审查的；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3.供应商的法定代表人（或其授权代表）或自然人未参加比选的；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4.供应商所提交的响应文件未按“附页：响应文件格式要求”要求签署或盖章的；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5.供应商的最后报价超过采购预算或最高限价的；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6.单位负责人为同一人或者存在直接控股、管理关系的不同供应商，参加同一合同项（包）比选的；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8.同一合同项（包）下的货物，制造商参与比选，再委托代理商参与比选的；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10.法律、法规和采购文件规定的其他无效情形。</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2.因情况变化，不再符合规定的比选采购方式适用情形的；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color w:val="auto"/>
          <w:sz w:val="24"/>
          <w:szCs w:val="24"/>
          <w:highlight w:val="none"/>
          <w:lang w:val="en-US" w:eastAsia="zh-CN"/>
        </w:rPr>
        <w:t>4.因重大变故，采购任务取消的。</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七、</w:t>
      </w:r>
      <w:r>
        <w:rPr>
          <w:rFonts w:hint="eastAsia" w:ascii="方正仿宋_GBK" w:hAnsi="方正仿宋_GBK" w:eastAsia="方正仿宋_GBK" w:cs="方正仿宋_GBK"/>
          <w:b/>
          <w:bCs/>
          <w:color w:val="000000"/>
          <w:sz w:val="24"/>
          <w:szCs w:val="24"/>
        </w:rPr>
        <w:t>有关说明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文件公告期限：自公告发布之日起三个工作日。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w:t>
      </w:r>
      <w:r>
        <w:rPr>
          <w:rFonts w:hint="eastAsia" w:ascii="方正仿宋_GBK" w:hAnsi="方正仿宋_GBK" w:eastAsia="方正仿宋_GBK" w:cs="方正仿宋_GBK"/>
          <w:color w:val="000000"/>
          <w:sz w:val="24"/>
          <w:szCs w:val="24"/>
          <w:lang w:val="en-US" w:eastAsia="zh-CN"/>
        </w:rPr>
        <w:t>详见采购公告</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lang w:eastAsia="zh-CN"/>
        </w:rPr>
        <w:t>上发布结果公告。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）采购人无义务向其他供应商解释比选失败原因，响应文件概不退还。</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527828387"/>
      <w:bookmarkStart w:id="19" w:name="_Toc13490"/>
      <w:bookmarkStart w:id="20" w:name="_Toc31639"/>
      <w:bookmarkStart w:id="21" w:name="_Toc31810"/>
      <w:bookmarkStart w:id="22" w:name="_Toc517367960"/>
      <w:bookmarkStart w:id="23" w:name="_Toc517368027"/>
      <w:bookmarkStart w:id="24" w:name="_Toc8132"/>
      <w:bookmarkStart w:id="25" w:name="_Toc6933"/>
      <w:bookmarkStart w:id="26" w:name="_Toc22978"/>
      <w:bookmarkStart w:id="27" w:name="_Toc21862"/>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lang w:eastAsia="zh-CN"/>
        </w:rPr>
        <w:t>理解并同意：最低报价非中标的唯一条件。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highlight w:val="none"/>
          <w:lang w:val="en-US" w:eastAsia="zh-CN"/>
        </w:rPr>
        <w:t>响应文件要求</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提出的要求和条件做出实质性响应，编制技术、商务条款差异表，</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rPr>
        <w:t>文件</w:t>
      </w:r>
      <w:r>
        <w:rPr>
          <w:rFonts w:hint="default" w:ascii="Times New Roman" w:hAnsi="Times New Roman" w:eastAsia="方正仿宋_GBK" w:cs="Times New Roman"/>
          <w:b/>
          <w:bCs/>
          <w:color w:val="000000"/>
          <w:sz w:val="24"/>
          <w:szCs w:val="24"/>
          <w:lang w:val="en-US" w:eastAsia="zh-CN"/>
        </w:rPr>
        <w:t>原则上应采用胶装方式进行装订，同时编制完整的页码、目录。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在响应文件正本中，比选文件“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电子文档”字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）关于质疑和投诉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1.质疑内容、时限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1.2供应商提出质疑应当提交质疑函和必要的证明材料。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1.3供应商为法人或者其他组织的，质疑函应当由法定代表人、主要负责人，或者其授权代表签字或者盖章，并加盖公章。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2.质疑答复时限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3.投诉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）签订合同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1.采购人应当在规定时间内，按照</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文件和成交供应商响应文件作实质性修改。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3.合同生效条款由供需双方约定，法律、行政法规规定应当办理批准、登记等手续后生效的合同，依照其规定。</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bookmarkStart w:id="28" w:name="_Toc517367961"/>
      <w:bookmarkStart w:id="29" w:name="_Toc2188"/>
      <w:bookmarkStart w:id="30" w:name="_Toc527828388"/>
      <w:bookmarkStart w:id="31" w:name="_Toc15317"/>
      <w:bookmarkStart w:id="32" w:name="_Toc20734"/>
      <w:bookmarkStart w:id="33" w:name="_Toc24167"/>
      <w:bookmarkStart w:id="34" w:name="_Toc1495"/>
      <w:bookmarkStart w:id="35" w:name="_Toc24060"/>
      <w:bookmarkStart w:id="36" w:name="_Toc517368028"/>
      <w:r>
        <w:rPr>
          <w:rFonts w:hint="eastAsia" w:ascii="方正仿宋_GBK" w:hAnsi="方正仿宋_GBK" w:eastAsia="方正仿宋_GBK" w:cs="方正仿宋_GBK"/>
          <w:b/>
          <w:bCs/>
          <w:color w:val="000000"/>
          <w:sz w:val="24"/>
          <w:szCs w:val="24"/>
        </w:rPr>
        <w:t>其它有关规定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bookmarkStart w:id="37"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p>
    <w:p>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一、经济部分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s="方正仿宋_GBK"/>
          <w:color w:val="auto"/>
          <w:sz w:val="24"/>
          <w:szCs w:val="24"/>
          <w:lang w:val="en-US" w:eastAsia="zh-CN"/>
        </w:rPr>
        <w:t>所投产品的技术资料（或技术白皮书等）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（二）技术（质量）响应偏离表</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四、</w:t>
      </w:r>
      <w:r>
        <w:rPr>
          <w:rFonts w:hint="eastAsia" w:ascii="方正仿宋_GBK" w:hAnsi="方正仿宋_GBK" w:eastAsia="方正仿宋_GBK" w:cs="方正仿宋_GBK"/>
          <w:b/>
          <w:sz w:val="24"/>
          <w:szCs w:val="24"/>
        </w:rPr>
        <w:t>资格条件及其他</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w:t>
      </w:r>
      <w:r>
        <w:rPr>
          <w:rFonts w:hint="eastAsia" w:ascii="方正仿宋_GBK" w:hAnsi="方正仿宋_GBK" w:eastAsia="方正仿宋_GBK" w:cs="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（五）</w:t>
      </w:r>
      <w:r>
        <w:rPr>
          <w:rFonts w:hint="eastAsia" w:ascii="方正仿宋_GBK" w:hAnsi="方正仿宋_GBK" w:eastAsia="方正仿宋_GBK" w:cs="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六</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特定资格条件证书或证明文件</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如有</w:t>
      </w:r>
      <w:r>
        <w:rPr>
          <w:rFonts w:hint="eastAsia" w:ascii="方正仿宋_GBK" w:hAnsi="方正仿宋_GBK" w:eastAsia="方正仿宋_GBK" w:cs="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五</w:t>
      </w:r>
      <w:r>
        <w:rPr>
          <w:rFonts w:hint="eastAsia" w:ascii="方正仿宋_GBK" w:hAnsi="方正仿宋_GBK" w:eastAsia="方正仿宋_GBK" w:cs="方正仿宋_GBK"/>
          <w:b/>
          <w:sz w:val="24"/>
          <w:szCs w:val="24"/>
        </w:rPr>
        <w:t>、其他资料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方正仿宋_GBK" w:eastAsia="方正仿宋_GBK" w:cs="方正仿宋_GBK"/>
          <w:sz w:val="24"/>
          <w:lang w:eastAsia="zh-CN"/>
        </w:rPr>
      </w:pPr>
      <w:bookmarkStart w:id="38" w:name="_Toc106034659"/>
      <w:bookmarkStart w:id="39" w:name="_Toc313888360"/>
      <w:bookmarkStart w:id="40" w:name="_Toc14244"/>
      <w:bookmarkStart w:id="41" w:name="_Toc342913419"/>
      <w:bookmarkStart w:id="42" w:name="_Toc65660379"/>
      <w:bookmarkStart w:id="43" w:name="_Toc313008356"/>
      <w:bookmarkStart w:id="44" w:name="_Toc26343"/>
      <w:bookmarkStart w:id="45" w:name="_Toc12789073"/>
      <w:bookmarkStart w:id="46" w:name="_Toc283382454"/>
      <w:r>
        <w:rPr>
          <w:rFonts w:hint="eastAsia" w:ascii="方正仿宋_GBK" w:hAnsi="方正仿宋_GBK" w:eastAsia="方正仿宋_GBK" w:cs="方正仿宋_GBK"/>
          <w:sz w:val="24"/>
        </w:rPr>
        <w:t>一、经济部分</w:t>
      </w:r>
      <w:bookmarkEnd w:id="38"/>
      <w:bookmarkEnd w:id="39"/>
      <w:bookmarkEnd w:id="40"/>
      <w:bookmarkEnd w:id="41"/>
      <w:bookmarkEnd w:id="42"/>
      <w:bookmarkEnd w:id="43"/>
      <w:bookmarkEnd w:id="44"/>
    </w:p>
    <w:bookmarkEnd w:id="45"/>
    <w:bookmarkEnd w:id="46"/>
    <w:p>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方正仿宋_GBK" w:eastAsia="方正仿宋_GBK" w:cs="方正仿宋_GBK"/>
          <w:b/>
          <w:sz w:val="24"/>
          <w:szCs w:val="36"/>
        </w:rPr>
      </w:pPr>
      <w:r>
        <w:rPr>
          <w:rFonts w:hint="eastAsia" w:ascii="方正仿宋_GBK" w:hAnsi="方正仿宋_GBK" w:eastAsia="方正仿宋_GBK" w:cs="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u w:val="single"/>
          <w:lang w:val="en-US" w:eastAsia="zh-CN"/>
        </w:rPr>
        <w:t>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文件，经详细研究，决定参加该</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文件中的一切要求，提供本项目的交货及技术服务，项目</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初始报价为人民币大写：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r>
        <w:rPr>
          <w:rFonts w:hint="eastAsia" w:ascii="方正仿宋_GBK" w:hAnsi="方正仿宋_GBK" w:eastAsia="方正仿宋_GBK" w:cs="方正仿宋_GBK"/>
          <w:sz w:val="24"/>
          <w:szCs w:val="24"/>
          <w:lang w:val="en-US" w:eastAsia="zh-CN"/>
        </w:rPr>
        <w:t>/件</w:t>
      </w:r>
      <w:r>
        <w:rPr>
          <w:rFonts w:hint="eastAsia" w:ascii="方正仿宋_GBK" w:hAnsi="方正仿宋_GBK" w:eastAsia="方正仿宋_GBK" w:cs="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宋体" w:eastAsia="方正仿宋_GBK"/>
          <w:sz w:val="24"/>
          <w:szCs w:val="24"/>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文件的一切规定和要求及</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过程中，我方若有违规行为，接受按照《中华人民共和国政府采购法》和《</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 xml:space="preserve">                               年   月   日</w:t>
      </w:r>
    </w:p>
    <w:p>
      <w:pPr>
        <w:spacing w:line="400" w:lineRule="exact"/>
        <w:ind w:firstLine="480" w:firstLineChars="200"/>
        <w:rPr>
          <w:rFonts w:hint="eastAsia" w:ascii="方正仿宋_GBK" w:hAnsi="方正仿宋_GBK" w:eastAsia="方正仿宋_GBK" w:cs="方正仿宋_GBK"/>
          <w:sz w:val="24"/>
          <w:szCs w:val="24"/>
          <w:lang w:eastAsia="zh-CN"/>
        </w:rPr>
      </w:pPr>
      <w:bookmarkStart w:id="47" w:name="_Toc342913421"/>
      <w:bookmarkStart w:id="48" w:name="_Toc313888362"/>
      <w:bookmarkStart w:id="49" w:name="_Toc313008358"/>
      <w:r>
        <w:rPr>
          <w:rFonts w:hint="eastAsia" w:ascii="方正仿宋_GBK" w:hAnsi="方正仿宋_GBK" w:eastAsia="方正仿宋_GBK" w:cs="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pPr>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单位：元</w:t>
      </w:r>
    </w:p>
    <w:tbl>
      <w:tblPr>
        <w:tblStyle w:val="15"/>
        <w:tblW w:w="909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75"/>
        <w:gridCol w:w="1965"/>
        <w:gridCol w:w="1050"/>
        <w:gridCol w:w="85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23" w:type="dxa"/>
            <w:vAlign w:val="center"/>
          </w:tcPr>
          <w:p>
            <w:pPr>
              <w:jc w:val="center"/>
              <w:rPr>
                <w:rFonts w:hint="eastAsia" w:ascii="方正仿宋_GBK" w:hAnsi="方正仿宋_GBK" w:eastAsia="方正仿宋_GBK" w:cs="方正仿宋_GBK"/>
                <w:color w:val="auto"/>
                <w:sz w:val="24"/>
                <w:szCs w:val="28"/>
                <w:lang w:val="en-US" w:eastAsia="zh-CN"/>
              </w:rPr>
            </w:pPr>
            <w:r>
              <w:rPr>
                <w:rFonts w:hint="eastAsia" w:ascii="方正仿宋_GBK" w:hAnsi="方正仿宋_GBK" w:eastAsia="方正仿宋_GBK" w:cs="方正仿宋_GBK"/>
                <w:color w:val="auto"/>
                <w:sz w:val="24"/>
                <w:szCs w:val="28"/>
                <w:lang w:val="en-US" w:eastAsia="zh-CN"/>
              </w:rPr>
              <w:t>序号</w:t>
            </w:r>
          </w:p>
        </w:tc>
        <w:tc>
          <w:tcPr>
            <w:tcW w:w="2175" w:type="dxa"/>
            <w:vAlign w:val="center"/>
          </w:tcPr>
          <w:p>
            <w:pPr>
              <w:jc w:val="center"/>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名称</w:t>
            </w:r>
          </w:p>
        </w:tc>
        <w:tc>
          <w:tcPr>
            <w:tcW w:w="1965" w:type="dxa"/>
            <w:vAlign w:val="center"/>
          </w:tcPr>
          <w:p>
            <w:pPr>
              <w:jc w:val="center"/>
              <w:rPr>
                <w:rFonts w:hint="eastAsia" w:ascii="方正仿宋_GBK" w:hAnsi="方正仿宋_GBK" w:eastAsia="方正仿宋_GBK" w:cs="方正仿宋_GBK"/>
                <w:color w:val="auto"/>
                <w:sz w:val="24"/>
                <w:szCs w:val="28"/>
                <w:lang w:eastAsia="zh-CN"/>
              </w:rPr>
            </w:pPr>
            <w:r>
              <w:rPr>
                <w:rFonts w:hint="eastAsia" w:ascii="方正仿宋_GBK" w:hAnsi="方正仿宋_GBK" w:eastAsia="方正仿宋_GBK" w:cs="方正仿宋_GBK"/>
                <w:color w:val="auto"/>
                <w:sz w:val="24"/>
                <w:szCs w:val="28"/>
                <w:lang w:val="en-US" w:eastAsia="zh-CN"/>
              </w:rPr>
              <w:t>规格型号</w:t>
            </w:r>
          </w:p>
        </w:tc>
        <w:tc>
          <w:tcPr>
            <w:tcW w:w="1050" w:type="dxa"/>
            <w:vAlign w:val="center"/>
          </w:tcPr>
          <w:p>
            <w:pPr>
              <w:pStyle w:val="8"/>
              <w:jc w:val="center"/>
              <w:rPr>
                <w:rFonts w:hint="eastAsia" w:ascii="方正仿宋_GBK" w:hAnsi="方正仿宋_GBK" w:eastAsia="方正仿宋_GBK" w:cs="方正仿宋_GBK"/>
                <w:color w:val="auto"/>
                <w:sz w:val="24"/>
                <w:szCs w:val="28"/>
                <w:lang w:val="en-US" w:eastAsia="zh-CN"/>
              </w:rPr>
            </w:pPr>
            <w:r>
              <w:rPr>
                <w:rFonts w:hint="eastAsia" w:ascii="方正仿宋_GBK" w:hAnsi="方正仿宋_GBK" w:eastAsia="方正仿宋_GBK" w:cs="方正仿宋_GBK"/>
                <w:color w:val="auto"/>
                <w:sz w:val="24"/>
                <w:szCs w:val="28"/>
                <w:lang w:val="en-US" w:eastAsia="zh-CN"/>
              </w:rPr>
              <w:t>质保期</w:t>
            </w:r>
          </w:p>
        </w:tc>
        <w:tc>
          <w:tcPr>
            <w:tcW w:w="855" w:type="dxa"/>
            <w:vAlign w:val="center"/>
          </w:tcPr>
          <w:p>
            <w:pPr>
              <w:pStyle w:val="8"/>
              <w:jc w:val="center"/>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lang w:val="en-US" w:eastAsia="zh-CN"/>
              </w:rPr>
              <w:t>数量单位</w:t>
            </w:r>
          </w:p>
        </w:tc>
        <w:tc>
          <w:tcPr>
            <w:tcW w:w="2430" w:type="dxa"/>
            <w:vAlign w:val="center"/>
          </w:tcPr>
          <w:p>
            <w:pPr>
              <w:pStyle w:val="8"/>
              <w:jc w:val="center"/>
              <w:rPr>
                <w:rFonts w:hint="eastAsia" w:ascii="方正仿宋_GBK" w:hAnsi="方正仿宋_GBK" w:eastAsia="方正仿宋_GBK" w:cs="方正仿宋_GBK"/>
                <w:color w:val="auto"/>
                <w:sz w:val="24"/>
                <w:szCs w:val="28"/>
                <w:lang w:val="en-US" w:eastAsia="zh-CN"/>
              </w:rPr>
            </w:pPr>
            <w:r>
              <w:rPr>
                <w:rFonts w:hint="eastAsia" w:ascii="方正仿宋_GBK" w:hAnsi="方正仿宋_GBK" w:eastAsia="方正仿宋_GBK" w:cs="方正仿宋_GBK"/>
                <w:color w:val="auto"/>
                <w:sz w:val="24"/>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623"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2430"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2430"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623"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2430"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2430"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2430"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6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2430"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5813" w:type="dxa"/>
            <w:gridSpan w:val="4"/>
            <w:vAlign w:val="center"/>
          </w:tcPr>
          <w:p>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合计</w:t>
            </w:r>
          </w:p>
        </w:tc>
        <w:tc>
          <w:tcPr>
            <w:tcW w:w="855" w:type="dxa"/>
            <w:vAlign w:val="center"/>
          </w:tcPr>
          <w:p>
            <w:pPr>
              <w:jc w:val="center"/>
              <w:rPr>
                <w:rFonts w:hint="eastAsia" w:ascii="方正仿宋_GBK" w:hAnsi="方正仿宋_GBK" w:eastAsia="方正仿宋_GBK" w:cs="方正仿宋_GBK"/>
                <w:sz w:val="24"/>
                <w:szCs w:val="28"/>
              </w:rPr>
            </w:pPr>
          </w:p>
        </w:tc>
        <w:tc>
          <w:tcPr>
            <w:tcW w:w="2430" w:type="dxa"/>
            <w:vAlign w:val="center"/>
          </w:tcPr>
          <w:p>
            <w:pPr>
              <w:jc w:val="center"/>
              <w:rPr>
                <w:rFonts w:hint="eastAsia" w:ascii="方正仿宋_GBK" w:hAnsi="方正仿宋_GBK" w:eastAsia="方正仿宋_GBK" w:cs="方正仿宋_GBK"/>
                <w:sz w:val="24"/>
                <w:szCs w:val="28"/>
              </w:rPr>
            </w:pPr>
          </w:p>
        </w:tc>
      </w:tr>
    </w:tbl>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p>
    <w:p>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pPr>
        <w:pStyle w:val="12"/>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313888361"/>
      <w:bookmarkStart w:id="51" w:name="_Toc106034660"/>
      <w:bookmarkStart w:id="52" w:name="_Toc14073"/>
      <w:bookmarkStart w:id="53" w:name="_Toc313008357"/>
      <w:bookmarkStart w:id="54" w:name="_Toc65660380"/>
      <w:bookmarkStart w:id="55" w:name="_Toc22655"/>
      <w:bookmarkStart w:id="56" w:name="_Toc342913420"/>
      <w:bookmarkStart w:id="57" w:name="_Toc65660382"/>
      <w:bookmarkStart w:id="58" w:name="_Toc2082"/>
      <w:bookmarkStart w:id="59" w:name="_Toc20162"/>
      <w:bookmarkStart w:id="60" w:name="_Toc106034662"/>
      <w:r>
        <w:rPr>
          <w:rFonts w:hint="eastAsia" w:ascii="方正仿宋_GBK" w:hAnsi="宋体" w:eastAsia="方正仿宋_GBK"/>
          <w:sz w:val="24"/>
        </w:rPr>
        <w:t>二、技术（质量）部分</w:t>
      </w:r>
      <w:bookmarkEnd w:id="50"/>
      <w:bookmarkEnd w:id="51"/>
      <w:bookmarkEnd w:id="52"/>
      <w:bookmarkEnd w:id="53"/>
      <w:bookmarkEnd w:id="54"/>
      <w:bookmarkEnd w:id="55"/>
      <w:bookmarkEnd w:id="56"/>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（一）所</w:t>
      </w:r>
      <w:r>
        <w:rPr>
          <w:rFonts w:hint="eastAsia" w:ascii="方正仿宋_GBK" w:hAnsi="方正仿宋_GBK" w:eastAsia="方正仿宋_GBK" w:cs="方正仿宋_GBK"/>
          <w:color w:val="000000"/>
          <w:sz w:val="24"/>
          <w:szCs w:val="24"/>
          <w:lang w:val="en-US" w:eastAsia="zh-CN"/>
        </w:rPr>
        <w:t>投各产品的技术资料（或技术白皮书等）</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5"/>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61" w:name="_Toc65660381"/>
      <w:bookmarkStart w:id="62" w:name="_Toc32158"/>
      <w:bookmarkStart w:id="63" w:name="_Toc32339"/>
      <w:bookmarkStart w:id="64" w:name="_Toc10603466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61"/>
      <w:bookmarkEnd w:id="62"/>
      <w:bookmarkEnd w:id="63"/>
      <w:bookmarkEnd w:id="6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bookmarkEnd w:id="47"/>
      <w:bookmarkEnd w:id="48"/>
      <w:bookmarkEnd w:id="49"/>
      <w:r>
        <w:rPr>
          <w:rFonts w:hint="eastAsia" w:ascii="方正仿宋_GBK" w:hAnsi="方正仿宋_GBK" w:eastAsia="方正仿宋_GBK" w:cs="方正仿宋_GBK"/>
          <w:sz w:val="24"/>
        </w:rPr>
        <w:t>资格条件及其他</w:t>
      </w:r>
      <w:bookmarkEnd w:id="57"/>
      <w:bookmarkEnd w:id="58"/>
      <w:bookmarkEnd w:id="59"/>
      <w:bookmarkEnd w:id="60"/>
      <w:bookmarkStart w:id="65" w:name="_Toc313008359"/>
      <w:bookmarkStart w:id="66" w:name="_Toc313888363"/>
      <w:bookmarkStart w:id="67" w:name="_Toc342913422"/>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（一）法人营业执照（副本）复印件</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lang w:eastAsia="zh-CN"/>
        </w:rPr>
        <w:t>比选</w:t>
      </w: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w:t>
      </w: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pPr>
        <w:tabs>
          <w:tab w:val="left" w:pos="6300"/>
        </w:tabs>
        <w:snapToGrid w:val="0"/>
        <w:spacing w:line="500" w:lineRule="exact"/>
        <w:ind w:firstLine="570"/>
        <w:rPr>
          <w:rFonts w:hint="eastAsia" w:ascii="方正仿宋_GBK" w:hAnsi="方正仿宋_GBK" w:eastAsia="方正仿宋_GBK" w:cs="方正仿宋_GBK"/>
          <w:sz w:val="24"/>
          <w:szCs w:val="28"/>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rPr>
        <w:t>注：若为法定代表人办理并签署响应文件的，不提供此文件。</w:t>
      </w: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rFonts w:hint="eastAsia" w:ascii="方正仿宋_GBK" w:hAnsi="方正仿宋_GBK" w:eastAsia="方正仿宋_GBK" w:cs="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lang w:val="en-US" w:eastAsia="zh-CN"/>
        </w:rPr>
        <w:t>查询时间：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月</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日</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pPr>
        <w:widowControl/>
        <w:numPr>
          <w:ilvl w:val="0"/>
          <w:numId w:val="1"/>
        </w:numPr>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p>
    <w:p>
      <w:pPr>
        <w:widowControl/>
        <w:spacing w:line="400" w:lineRule="exact"/>
        <w:ind w:firstLine="480" w:firstLineChars="200"/>
        <w:jc w:val="left"/>
        <w:rPr>
          <w:rFonts w:hint="eastAsia" w:ascii="方正仿宋_GBK" w:hAnsi="方正仿宋_GBK" w:eastAsia="方正仿宋_GBK" w:cs="方正仿宋_GBK"/>
          <w:sz w:val="24"/>
          <w:szCs w:val="24"/>
        </w:rPr>
      </w:pPr>
      <w:bookmarkStart w:id="68" w:name="_Toc2080"/>
      <w:bookmarkStart w:id="69" w:name="_Toc17010"/>
      <w:bookmarkStart w:id="70" w:name="_Toc65660383"/>
      <w:bookmarkStart w:id="71" w:name="_Toc106034663"/>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生产企业委托代理经销授权书</w:t>
      </w:r>
      <w:r>
        <w:rPr>
          <w:rFonts w:hint="eastAsia" w:ascii="方正仿宋_GBK" w:hAnsi="方正仿宋_GBK" w:eastAsia="方正仿宋_GBK" w:cs="方正仿宋_GBK"/>
          <w:color w:val="auto"/>
          <w:sz w:val="24"/>
          <w:szCs w:val="24"/>
          <w:lang w:val="en-US" w:eastAsia="zh-CN"/>
        </w:rPr>
        <w:t>（如有）</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特定资格条件证书或证明文件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如有</w:t>
      </w:r>
      <w:r>
        <w:rPr>
          <w:rFonts w:hint="eastAsia" w:ascii="方正仿宋_GBK" w:hAnsi="方正仿宋_GBK" w:eastAsia="方正仿宋_GBK" w:cs="方正仿宋_GBK"/>
          <w:color w:val="auto"/>
          <w:sz w:val="24"/>
          <w:szCs w:val="24"/>
          <w:lang w:eastAsia="zh-CN"/>
        </w:rPr>
        <w:t>）</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bookmarkEnd w:id="65"/>
      <w:bookmarkEnd w:id="66"/>
      <w:bookmarkEnd w:id="67"/>
      <w:r>
        <w:rPr>
          <w:rFonts w:hint="eastAsia" w:ascii="方正仿宋_GBK" w:hAnsi="方正仿宋_GBK" w:eastAsia="方正仿宋_GBK" w:cs="方正仿宋_GBK"/>
          <w:sz w:val="24"/>
        </w:rPr>
        <w:t>其他资料</w:t>
      </w:r>
      <w:bookmarkEnd w:id="68"/>
      <w:bookmarkEnd w:id="69"/>
      <w:bookmarkEnd w:id="70"/>
      <w:bookmarkEnd w:id="71"/>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pPr>
        <w:pStyle w:val="7"/>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7"/>
        <w:rPr>
          <w:rFonts w:hint="eastAsia" w:ascii="方正仿宋_GBK" w:hAnsi="方正仿宋_GBK" w:eastAsia="方正仿宋_GBK" w:cs="方正仿宋_GBK"/>
        </w:rPr>
      </w:pP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pPr>
        <w:pStyle w:val="7"/>
        <w:rPr>
          <w:rFonts w:hint="eastAsia" w:ascii="方正仿宋_GBK" w:hAnsi="方正仿宋_GBK" w:eastAsia="方正仿宋_GBK" w:cs="方正仿宋_GBK"/>
        </w:rPr>
      </w:pPr>
      <w:r>
        <w:rPr>
          <w:rFonts w:hint="eastAsia" w:ascii="方正仿宋_GBK" w:hAnsi="方正仿宋_GBK" w:eastAsia="方正仿宋_GBK" w:cs="方正仿宋_GBK"/>
        </w:rPr>
        <w:t>　　　</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rPr>
        <w:t>　　　</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pStyle w:val="12"/>
        <w:rPr>
          <w:rFonts w:hint="eastAsia" w:ascii="方正仿宋_GBK" w:hAnsi="方正仿宋_GBK" w:eastAsia="方正仿宋_GBK" w:cs="方正仿宋_GBK"/>
          <w:lang w:val="en-US" w:eastAsia="zh-CN"/>
        </w:rPr>
      </w:pP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其他与项目有关的资料（自附）</w:t>
      </w: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p>
    <w:p>
      <w:pPr>
        <w:pStyle w:val="5"/>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embedRegular r:id="rId1" w:fontKey="{815AD4B8-789E-4F96-A412-1F37CC5E6682}"/>
  </w:font>
  <w:font w:name="方正兰亭黑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64DE72A1-D615-406B-BB6B-A23425A7B3E3}"/>
  </w:font>
  <w:font w:name="仿宋">
    <w:panose1 w:val="02010609060101010101"/>
    <w:charset w:val="86"/>
    <w:family w:val="modern"/>
    <w:pitch w:val="default"/>
    <w:sig w:usb0="800002BF" w:usb1="38CF7CFA" w:usb2="00000016" w:usb3="00000000" w:csb0="00040001" w:csb1="00000000"/>
    <w:embedRegular r:id="rId3" w:fontKey="{DAFB366F-1C02-4B22-B377-3DF638D8FB51}"/>
  </w:font>
  <w:font w:name="仿宋_GB2312">
    <w:panose1 w:val="02010609030101010101"/>
    <w:charset w:val="86"/>
    <w:family w:val="modern"/>
    <w:pitch w:val="default"/>
    <w:sig w:usb0="00000000" w:usb1="00000000" w:usb2="00000000" w:usb3="00000000" w:csb0="00000000" w:csb1="00000000"/>
    <w:embedRegular r:id="rId4" w:fontKey="{7D937A1E-8ED8-415B-BF94-0227A5A954F3}"/>
  </w:font>
  <w:font w:name="方正仿宋_GB2312">
    <w:altName w:val="仿宋"/>
    <w:panose1 w:val="02000000000000000000"/>
    <w:charset w:val="86"/>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B8C58"/>
    <w:multiLevelType w:val="singleLevel"/>
    <w:tmpl w:val="2B3B8C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49566AA"/>
    <w:rsid w:val="05084823"/>
    <w:rsid w:val="055E66C3"/>
    <w:rsid w:val="05AB7AD2"/>
    <w:rsid w:val="08041D76"/>
    <w:rsid w:val="086C7545"/>
    <w:rsid w:val="09655DC8"/>
    <w:rsid w:val="0A546A76"/>
    <w:rsid w:val="0A8C3C5A"/>
    <w:rsid w:val="0B145FD1"/>
    <w:rsid w:val="0B2D6208"/>
    <w:rsid w:val="0B4E3BB1"/>
    <w:rsid w:val="0CB1205F"/>
    <w:rsid w:val="0D0E6604"/>
    <w:rsid w:val="0D33709C"/>
    <w:rsid w:val="0DBD6915"/>
    <w:rsid w:val="0DC316BB"/>
    <w:rsid w:val="0E653757"/>
    <w:rsid w:val="0ED07A7C"/>
    <w:rsid w:val="0EF324E5"/>
    <w:rsid w:val="0F6A299F"/>
    <w:rsid w:val="0FC01DDD"/>
    <w:rsid w:val="10D600D9"/>
    <w:rsid w:val="10DC01C8"/>
    <w:rsid w:val="116503A8"/>
    <w:rsid w:val="122747C2"/>
    <w:rsid w:val="12737FD2"/>
    <w:rsid w:val="133F76F0"/>
    <w:rsid w:val="13704662"/>
    <w:rsid w:val="13814630"/>
    <w:rsid w:val="13BC68CB"/>
    <w:rsid w:val="13DF3FC3"/>
    <w:rsid w:val="14A409DB"/>
    <w:rsid w:val="150D0848"/>
    <w:rsid w:val="15476CD4"/>
    <w:rsid w:val="15625621"/>
    <w:rsid w:val="15F441A8"/>
    <w:rsid w:val="1687517E"/>
    <w:rsid w:val="16A60816"/>
    <w:rsid w:val="16CA792A"/>
    <w:rsid w:val="17F26FAE"/>
    <w:rsid w:val="18687FAE"/>
    <w:rsid w:val="193261E3"/>
    <w:rsid w:val="1A8D54AA"/>
    <w:rsid w:val="1AC856F5"/>
    <w:rsid w:val="1B091680"/>
    <w:rsid w:val="1BD877D9"/>
    <w:rsid w:val="1C63728E"/>
    <w:rsid w:val="1D54216D"/>
    <w:rsid w:val="1E3356E8"/>
    <w:rsid w:val="1EB37DB8"/>
    <w:rsid w:val="1EF56501"/>
    <w:rsid w:val="1F563B88"/>
    <w:rsid w:val="1FD86743"/>
    <w:rsid w:val="1FEE4795"/>
    <w:rsid w:val="201D7DBD"/>
    <w:rsid w:val="21546A66"/>
    <w:rsid w:val="21693711"/>
    <w:rsid w:val="22257114"/>
    <w:rsid w:val="226E4C36"/>
    <w:rsid w:val="23F95523"/>
    <w:rsid w:val="2437495C"/>
    <w:rsid w:val="25553977"/>
    <w:rsid w:val="26030B51"/>
    <w:rsid w:val="260852E0"/>
    <w:rsid w:val="26BB6FAE"/>
    <w:rsid w:val="27110760"/>
    <w:rsid w:val="27FC4AEF"/>
    <w:rsid w:val="28CA642A"/>
    <w:rsid w:val="29CE6BF9"/>
    <w:rsid w:val="2A1F4D6D"/>
    <w:rsid w:val="2AC57FFB"/>
    <w:rsid w:val="2AED7E1E"/>
    <w:rsid w:val="2C041E33"/>
    <w:rsid w:val="2C516D69"/>
    <w:rsid w:val="2C9F1834"/>
    <w:rsid w:val="2D7524E6"/>
    <w:rsid w:val="2E45744F"/>
    <w:rsid w:val="2E8928E3"/>
    <w:rsid w:val="2F0C7C35"/>
    <w:rsid w:val="2FF366DC"/>
    <w:rsid w:val="3010033A"/>
    <w:rsid w:val="305C705B"/>
    <w:rsid w:val="30BD408D"/>
    <w:rsid w:val="31C61758"/>
    <w:rsid w:val="327114A6"/>
    <w:rsid w:val="337E1035"/>
    <w:rsid w:val="34DF325D"/>
    <w:rsid w:val="35167B38"/>
    <w:rsid w:val="356E302D"/>
    <w:rsid w:val="357E1150"/>
    <w:rsid w:val="36825B67"/>
    <w:rsid w:val="36E467E3"/>
    <w:rsid w:val="37B277E0"/>
    <w:rsid w:val="38143FC6"/>
    <w:rsid w:val="39500212"/>
    <w:rsid w:val="397662F8"/>
    <w:rsid w:val="39842583"/>
    <w:rsid w:val="3A012229"/>
    <w:rsid w:val="3A07396B"/>
    <w:rsid w:val="3A0C7EF5"/>
    <w:rsid w:val="3A757783"/>
    <w:rsid w:val="3B82689F"/>
    <w:rsid w:val="3C6B3628"/>
    <w:rsid w:val="3D0B21A9"/>
    <w:rsid w:val="3E752DC9"/>
    <w:rsid w:val="3F7A243C"/>
    <w:rsid w:val="3FFD7216"/>
    <w:rsid w:val="40EC1E4D"/>
    <w:rsid w:val="411F7A6D"/>
    <w:rsid w:val="41A53F56"/>
    <w:rsid w:val="43D63AAE"/>
    <w:rsid w:val="443474E0"/>
    <w:rsid w:val="44A8542F"/>
    <w:rsid w:val="45D95ED7"/>
    <w:rsid w:val="4684760A"/>
    <w:rsid w:val="472E3198"/>
    <w:rsid w:val="494254CB"/>
    <w:rsid w:val="49664A06"/>
    <w:rsid w:val="4A0F3BD6"/>
    <w:rsid w:val="4B046ED0"/>
    <w:rsid w:val="4B431506"/>
    <w:rsid w:val="4B986E6A"/>
    <w:rsid w:val="4B9D04D7"/>
    <w:rsid w:val="4BA43FBA"/>
    <w:rsid w:val="4BDF1609"/>
    <w:rsid w:val="4C582C53"/>
    <w:rsid w:val="4C7A4B67"/>
    <w:rsid w:val="4CD82061"/>
    <w:rsid w:val="4D433F84"/>
    <w:rsid w:val="4DD45752"/>
    <w:rsid w:val="4F4C2E93"/>
    <w:rsid w:val="509D5C5F"/>
    <w:rsid w:val="50AA111F"/>
    <w:rsid w:val="50D60F23"/>
    <w:rsid w:val="50EF663E"/>
    <w:rsid w:val="50FF2FF1"/>
    <w:rsid w:val="5130230E"/>
    <w:rsid w:val="51E01C21"/>
    <w:rsid w:val="529C00C8"/>
    <w:rsid w:val="52DD1E2A"/>
    <w:rsid w:val="52F56DBE"/>
    <w:rsid w:val="540D30FB"/>
    <w:rsid w:val="54232271"/>
    <w:rsid w:val="54A75B2E"/>
    <w:rsid w:val="54FF0485"/>
    <w:rsid w:val="55522D0C"/>
    <w:rsid w:val="56210721"/>
    <w:rsid w:val="56E919B9"/>
    <w:rsid w:val="575F6358"/>
    <w:rsid w:val="578C5896"/>
    <w:rsid w:val="57CB0088"/>
    <w:rsid w:val="583B0320"/>
    <w:rsid w:val="584644AB"/>
    <w:rsid w:val="596468E9"/>
    <w:rsid w:val="59A76C1C"/>
    <w:rsid w:val="59ED6194"/>
    <w:rsid w:val="5A3D2924"/>
    <w:rsid w:val="5B395A82"/>
    <w:rsid w:val="5B8B3A7D"/>
    <w:rsid w:val="5BEC7717"/>
    <w:rsid w:val="5CA47359"/>
    <w:rsid w:val="5CCF75D4"/>
    <w:rsid w:val="5D24510E"/>
    <w:rsid w:val="5D486922"/>
    <w:rsid w:val="5EC809F4"/>
    <w:rsid w:val="5F0E7416"/>
    <w:rsid w:val="5F1818BF"/>
    <w:rsid w:val="5F6A3B63"/>
    <w:rsid w:val="5FA86675"/>
    <w:rsid w:val="603F4A02"/>
    <w:rsid w:val="615F2949"/>
    <w:rsid w:val="6286438F"/>
    <w:rsid w:val="62AC472E"/>
    <w:rsid w:val="64434207"/>
    <w:rsid w:val="644A5BFB"/>
    <w:rsid w:val="64A439AF"/>
    <w:rsid w:val="64C85426"/>
    <w:rsid w:val="64CF0321"/>
    <w:rsid w:val="65730991"/>
    <w:rsid w:val="66125CDD"/>
    <w:rsid w:val="669453A6"/>
    <w:rsid w:val="66D04197"/>
    <w:rsid w:val="672804FC"/>
    <w:rsid w:val="67991669"/>
    <w:rsid w:val="68A24C95"/>
    <w:rsid w:val="68BE34F1"/>
    <w:rsid w:val="6A8D37D7"/>
    <w:rsid w:val="6ACD02AF"/>
    <w:rsid w:val="6BA36B5C"/>
    <w:rsid w:val="6C1F3525"/>
    <w:rsid w:val="6D544307"/>
    <w:rsid w:val="6EFD7139"/>
    <w:rsid w:val="707F1202"/>
    <w:rsid w:val="708B4D5C"/>
    <w:rsid w:val="723A6707"/>
    <w:rsid w:val="72C377F4"/>
    <w:rsid w:val="72D205D4"/>
    <w:rsid w:val="73C86278"/>
    <w:rsid w:val="73EA2176"/>
    <w:rsid w:val="73F73350"/>
    <w:rsid w:val="75883F4E"/>
    <w:rsid w:val="759977E2"/>
    <w:rsid w:val="766250BC"/>
    <w:rsid w:val="7689739C"/>
    <w:rsid w:val="76E06C94"/>
    <w:rsid w:val="770B4DD1"/>
    <w:rsid w:val="770F5F97"/>
    <w:rsid w:val="78042CE8"/>
    <w:rsid w:val="789418E6"/>
    <w:rsid w:val="78FF7A27"/>
    <w:rsid w:val="7A1E49FA"/>
    <w:rsid w:val="7AA15452"/>
    <w:rsid w:val="7B5D7B47"/>
    <w:rsid w:val="7B8D1379"/>
    <w:rsid w:val="7CA547CE"/>
    <w:rsid w:val="7CFF1FE6"/>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unhideWhenUsed/>
    <w:qFormat/>
    <w:uiPriority w:val="99"/>
  </w:style>
  <w:style w:type="paragraph" w:customStyle="1" w:styleId="6">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Plain Text"/>
    <w:basedOn w:val="1"/>
    <w:qFormat/>
    <w:uiPriority w:val="0"/>
    <w:rPr>
      <w:rFonts w:ascii="宋体" w:hAnsi="Courier New"/>
    </w:rPr>
  </w:style>
  <w:style w:type="paragraph" w:styleId="8">
    <w:name w:val="Date"/>
    <w:basedOn w:val="1"/>
    <w:next w:val="1"/>
    <w:unhideWhenUsed/>
    <w:qFormat/>
    <w:uiPriority w:val="99"/>
    <w:rPr>
      <w:sz w:val="28"/>
      <w:szCs w:val="20"/>
    </w:rPr>
  </w:style>
  <w:style w:type="paragraph" w:styleId="9">
    <w:name w:val="Body Text Indent 2"/>
    <w:basedOn w:val="1"/>
    <w:qFormat/>
    <w:uiPriority w:val="0"/>
    <w:pPr>
      <w:snapToGrid w:val="0"/>
      <w:spacing w:line="560" w:lineRule="atLeast"/>
      <w:ind w:firstLine="540"/>
    </w:p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180" w:lineRule="auto"/>
      <w:jc w:val="center"/>
    </w:pPr>
    <w:rPr>
      <w:sz w:val="30"/>
    </w:rPr>
  </w:style>
  <w:style w:type="paragraph" w:styleId="13">
    <w:name w:val="Normal (Web)"/>
    <w:unhideWhenUsed/>
    <w:qFormat/>
    <w:uiPriority w:val="99"/>
    <w:pPr>
      <w:widowControl w:val="0"/>
      <w:jc w:val="left"/>
    </w:pPr>
    <w:rPr>
      <w:rFonts w:cs="Times New Roman" w:asciiTheme="minorHAnsi" w:hAnsiTheme="minorHAnsi" w:eastAsiaTheme="minorEastAsia"/>
      <w:kern w:val="0"/>
      <w:sz w:val="24"/>
      <w:szCs w:val="22"/>
      <w:lang w:val="en-US" w:eastAsia="zh-CN" w:bidi="ar-SA"/>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99"/>
    <w:rPr>
      <w:sz w:val="18"/>
      <w:szCs w:val="18"/>
    </w:rPr>
  </w:style>
  <w:style w:type="paragraph" w:customStyle="1" w:styleId="19">
    <w:name w:val="列出段落1"/>
    <w:basedOn w:val="1"/>
    <w:unhideWhenUsed/>
    <w:qFormat/>
    <w:uiPriority w:val="99"/>
    <w:pPr>
      <w:ind w:firstLine="420" w:firstLineChars="200"/>
    </w:pPr>
  </w:style>
  <w:style w:type="paragraph" w:customStyle="1" w:styleId="20">
    <w:name w:val="List Paragraph"/>
    <w:basedOn w:val="1"/>
    <w:unhideWhenUsed/>
    <w:qFormat/>
    <w:uiPriority w:val="34"/>
    <w:pPr>
      <w:ind w:firstLine="420" w:firstLineChars="200"/>
    </w:pPr>
  </w:style>
  <w:style w:type="character" w:customStyle="1" w:styleId="21">
    <w:name w:val="font31"/>
    <w:basedOn w:val="14"/>
    <w:qFormat/>
    <w:uiPriority w:val="0"/>
    <w:rPr>
      <w:rFonts w:hint="eastAsia" w:ascii="方正兰亭黑_GBK" w:hAnsi="方正兰亭黑_GBK" w:eastAsia="方正兰亭黑_GBK" w:cs="方正兰亭黑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23</Pages>
  <Words>7697</Words>
  <Characters>8051</Characters>
  <Lines>12</Lines>
  <Paragraphs>3</Paragraphs>
  <ScaleCrop>false</ScaleCrop>
  <LinksUpToDate>false</LinksUpToDate>
  <CharactersWithSpaces>9137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2025-08-20T03:30:01Z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6899A4C327044E57B9DFD793E5F2F444_13</vt:lpwstr>
  </property>
  <property fmtid="{D5CDD505-2E9C-101B-9397-08002B2CF9AE}" pid="4" name="KSOTemplateDocerSaveRecord">
    <vt:lpwstr>eyJoZGlkIjoiMjc5YTcyY2ZlMjE1YTAzZWI3NWQxNTEzZjhkMjE5NWUifQ==</vt:lpwstr>
  </property>
</Properties>
</file>