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D6F89C">
      <w:pPr>
        <w:pStyle w:val="2"/>
        <w:bidi w:val="0"/>
        <w:jc w:val="center"/>
        <w:rPr>
          <w:rFonts w:hint="eastAsia" w:eastAsia="黑体"/>
          <w:lang w:val="en-US" w:eastAsia="zh-CN"/>
        </w:rPr>
      </w:pPr>
      <w:r>
        <w:rPr>
          <w:rFonts w:hint="eastAsia"/>
        </w:rPr>
        <w:t>关于</w:t>
      </w:r>
      <w:r>
        <w:rPr>
          <w:rFonts w:hint="eastAsia"/>
          <w:lang w:val="en-US" w:eastAsia="zh-CN"/>
        </w:rPr>
        <w:t>科学城120工作站</w:t>
      </w:r>
      <w:r>
        <w:rPr>
          <w:rFonts w:hint="eastAsia"/>
        </w:rPr>
        <w:t>设备进行院内</w:t>
      </w:r>
      <w:r>
        <w:rPr>
          <w:rFonts w:hint="eastAsia"/>
          <w:lang w:val="en-US" w:eastAsia="zh-CN"/>
        </w:rPr>
        <w:t>询价</w:t>
      </w:r>
      <w:r>
        <w:rPr>
          <w:rFonts w:hint="eastAsia"/>
        </w:rPr>
        <w:t>的</w:t>
      </w:r>
      <w:r>
        <w:rPr>
          <w:rFonts w:hint="eastAsia"/>
          <w:lang w:val="en-US" w:eastAsia="zh-CN"/>
        </w:rPr>
        <w:t>公告</w:t>
      </w:r>
    </w:p>
    <w:p w14:paraId="55323A3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pacing w:before="0" w:beforeAutospacing="0" w:after="0" w:afterAutospacing="0" w:line="240" w:lineRule="auto"/>
        <w:ind w:left="0" w:right="0" w:firstLine="0"/>
        <w:jc w:val="both"/>
        <w:rPr>
          <w:rFonts w:hint="eastAsia" w:ascii="仿宋_GB2312" w:hAnsi="仿宋_GB2312" w:eastAsia="仿宋_GB2312" w:cs="仿宋_GB2312"/>
          <w:sz w:val="24"/>
          <w:szCs w:val="24"/>
        </w:rPr>
      </w:pPr>
      <w:r>
        <w:rPr>
          <w:rFonts w:hint="eastAsia" w:ascii="仿宋_GB2312" w:hAnsi="仿宋_GB2312" w:eastAsia="仿宋_GB2312" w:cs="仿宋_GB2312"/>
          <w:i w:val="0"/>
          <w:iCs w:val="0"/>
          <w:caps w:val="0"/>
          <w:color w:val="000000"/>
          <w:spacing w:val="0"/>
          <w:sz w:val="24"/>
          <w:szCs w:val="24"/>
        </w:rPr>
        <w:t>各公司：</w:t>
      </w:r>
    </w:p>
    <w:p w14:paraId="1507B94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pacing w:before="0" w:beforeAutospacing="0" w:after="0" w:afterAutospacing="0" w:line="240" w:lineRule="auto"/>
        <w:ind w:left="0" w:right="0" w:firstLine="420"/>
        <w:jc w:val="both"/>
        <w:rPr>
          <w:rFonts w:hint="eastAsia" w:ascii="仿宋_GB2312" w:hAnsi="仿宋_GB2312" w:eastAsia="仿宋_GB2312" w:cs="仿宋_GB2312"/>
          <w:i w:val="0"/>
          <w:iCs w:val="0"/>
          <w:caps w:val="0"/>
          <w:color w:val="000000"/>
          <w:spacing w:val="0"/>
          <w:sz w:val="24"/>
          <w:szCs w:val="24"/>
        </w:rPr>
      </w:pPr>
      <w:r>
        <w:rPr>
          <w:rFonts w:hint="eastAsia" w:ascii="仿宋_GB2312" w:hAnsi="仿宋_GB2312" w:eastAsia="仿宋_GB2312" w:cs="仿宋_GB2312"/>
          <w:i w:val="0"/>
          <w:iCs w:val="0"/>
          <w:caps w:val="0"/>
          <w:color w:val="000000"/>
          <w:spacing w:val="0"/>
          <w:sz w:val="24"/>
          <w:szCs w:val="24"/>
        </w:rPr>
        <w:t>我院</w:t>
      </w:r>
      <w:bookmarkStart w:id="10" w:name="_GoBack"/>
      <w:r>
        <w:rPr>
          <w:rFonts w:hint="eastAsia" w:ascii="仿宋_GB2312" w:hAnsi="仿宋_GB2312" w:eastAsia="仿宋_GB2312" w:cs="仿宋_GB2312"/>
          <w:i w:val="0"/>
          <w:iCs w:val="0"/>
          <w:caps w:val="0"/>
          <w:color w:val="000000"/>
          <w:spacing w:val="0"/>
          <w:sz w:val="24"/>
          <w:szCs w:val="24"/>
          <w:lang w:val="en-US" w:eastAsia="zh-CN"/>
        </w:rPr>
        <w:t>科学城院区拟</w:t>
      </w:r>
      <w:bookmarkEnd w:id="10"/>
      <w:r>
        <w:rPr>
          <w:rFonts w:hint="eastAsia" w:ascii="仿宋_GB2312" w:hAnsi="仿宋_GB2312" w:eastAsia="仿宋_GB2312" w:cs="仿宋_GB2312"/>
          <w:i w:val="0"/>
          <w:iCs w:val="0"/>
          <w:caps w:val="0"/>
          <w:color w:val="000000"/>
          <w:spacing w:val="0"/>
          <w:sz w:val="24"/>
          <w:szCs w:val="24"/>
          <w:lang w:val="en-US" w:eastAsia="zh-CN"/>
        </w:rPr>
        <w:t>采购两套120调度工作站</w:t>
      </w:r>
      <w:r>
        <w:rPr>
          <w:rFonts w:hint="eastAsia" w:ascii="仿宋_GB2312" w:hAnsi="仿宋_GB2312" w:eastAsia="仿宋_GB2312" w:cs="仿宋_GB2312"/>
          <w:i w:val="0"/>
          <w:iCs w:val="0"/>
          <w:caps w:val="0"/>
          <w:color w:val="000000"/>
          <w:spacing w:val="0"/>
          <w:sz w:val="24"/>
          <w:szCs w:val="24"/>
        </w:rPr>
        <w:t>，欢迎具有相关处理资质的公司参加。</w:t>
      </w:r>
    </w:p>
    <w:p w14:paraId="75A0689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pacing w:before="0" w:beforeAutospacing="0" w:after="0" w:afterAutospacing="0" w:line="240" w:lineRule="auto"/>
        <w:ind w:left="0" w:right="0" w:firstLine="420"/>
        <w:jc w:val="both"/>
        <w:rPr>
          <w:rFonts w:hint="eastAsia" w:ascii="仿宋_GB2312" w:hAnsi="仿宋_GB2312" w:eastAsia="仿宋_GB2312" w:cs="仿宋_GB2312"/>
          <w:i w:val="0"/>
          <w:iCs w:val="0"/>
          <w:caps w:val="0"/>
          <w:color w:val="000000"/>
          <w:spacing w:val="0"/>
          <w:sz w:val="24"/>
          <w:szCs w:val="24"/>
        </w:rPr>
      </w:pPr>
    </w:p>
    <w:tbl>
      <w:tblPr>
        <w:tblStyle w:val="5"/>
        <w:tblW w:w="83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1875"/>
        <w:gridCol w:w="1369"/>
        <w:gridCol w:w="1181"/>
        <w:gridCol w:w="788"/>
        <w:gridCol w:w="1180"/>
        <w:gridCol w:w="1234"/>
      </w:tblGrid>
      <w:tr w14:paraId="6B7AA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699" w:type="dxa"/>
            <w:noWrap w:val="0"/>
            <w:vAlign w:val="center"/>
          </w:tcPr>
          <w:p w14:paraId="54380ED6">
            <w:pPr>
              <w:pStyle w:val="4"/>
              <w:keepNext w:val="0"/>
              <w:keepLines w:val="0"/>
              <w:pageBreakBefore w:val="0"/>
              <w:kinsoku/>
              <w:overflowPunct/>
              <w:topLinePunct w:val="0"/>
              <w:autoSpaceDE/>
              <w:autoSpaceDN/>
              <w:bidi w:val="0"/>
              <w:adjustRightInd/>
              <w:spacing w:before="120" w:beforeLines="50" w:beforeAutospacing="0" w:after="0" w:afterAutospacing="0" w:line="240" w:lineRule="auto"/>
              <w:jc w:val="cente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序号</w:t>
            </w:r>
          </w:p>
        </w:tc>
        <w:tc>
          <w:tcPr>
            <w:tcW w:w="1875" w:type="dxa"/>
            <w:noWrap w:val="0"/>
            <w:vAlign w:val="center"/>
          </w:tcPr>
          <w:p w14:paraId="2DF5F55B">
            <w:pPr>
              <w:pStyle w:val="4"/>
              <w:keepNext w:val="0"/>
              <w:keepLines w:val="0"/>
              <w:pageBreakBefore w:val="0"/>
              <w:kinsoku/>
              <w:overflowPunct/>
              <w:topLinePunct w:val="0"/>
              <w:autoSpaceDE/>
              <w:autoSpaceDN/>
              <w:bidi w:val="0"/>
              <w:adjustRightInd/>
              <w:spacing w:before="120" w:beforeLines="50" w:beforeAutospacing="0" w:after="0" w:afterAutospacing="0" w:line="240" w:lineRule="auto"/>
              <w:jc w:val="cente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名称</w:t>
            </w:r>
          </w:p>
        </w:tc>
        <w:tc>
          <w:tcPr>
            <w:tcW w:w="1369" w:type="dxa"/>
            <w:noWrap w:val="0"/>
            <w:vAlign w:val="center"/>
          </w:tcPr>
          <w:p w14:paraId="445CE152">
            <w:pPr>
              <w:pStyle w:val="4"/>
              <w:keepNext w:val="0"/>
              <w:keepLines w:val="0"/>
              <w:pageBreakBefore w:val="0"/>
              <w:kinsoku/>
              <w:overflowPunct/>
              <w:topLinePunct w:val="0"/>
              <w:autoSpaceDE/>
              <w:autoSpaceDN/>
              <w:bidi w:val="0"/>
              <w:adjustRightInd/>
              <w:spacing w:before="120" w:beforeLines="50" w:beforeAutospacing="0" w:after="0" w:afterAutospacing="0" w:line="240" w:lineRule="auto"/>
              <w:jc w:val="cente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最高限价（万元）</w:t>
            </w:r>
          </w:p>
        </w:tc>
        <w:tc>
          <w:tcPr>
            <w:tcW w:w="1181" w:type="dxa"/>
            <w:noWrap w:val="0"/>
            <w:vAlign w:val="center"/>
          </w:tcPr>
          <w:p w14:paraId="4E4AA55E">
            <w:pPr>
              <w:pStyle w:val="4"/>
              <w:keepNext w:val="0"/>
              <w:keepLines w:val="0"/>
              <w:pageBreakBefore w:val="0"/>
              <w:kinsoku/>
              <w:overflowPunct/>
              <w:topLinePunct w:val="0"/>
              <w:autoSpaceDE/>
              <w:autoSpaceDN/>
              <w:bidi w:val="0"/>
              <w:adjustRightInd/>
              <w:spacing w:before="120" w:beforeLines="50" w:beforeAutospacing="0" w:after="0" w:afterAutospacing="0" w:line="240" w:lineRule="auto"/>
              <w:jc w:val="cente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采购数量</w:t>
            </w:r>
          </w:p>
        </w:tc>
        <w:tc>
          <w:tcPr>
            <w:tcW w:w="788" w:type="dxa"/>
            <w:noWrap w:val="0"/>
            <w:vAlign w:val="center"/>
          </w:tcPr>
          <w:p w14:paraId="4229C9A9">
            <w:pPr>
              <w:pStyle w:val="4"/>
              <w:keepNext w:val="0"/>
              <w:keepLines w:val="0"/>
              <w:pageBreakBefore w:val="0"/>
              <w:kinsoku/>
              <w:overflowPunct/>
              <w:topLinePunct w:val="0"/>
              <w:autoSpaceDE/>
              <w:autoSpaceDN/>
              <w:bidi w:val="0"/>
              <w:adjustRightInd/>
              <w:spacing w:before="120" w:beforeLines="50" w:beforeAutospacing="0" w:after="0" w:afterAutospacing="0" w:line="240" w:lineRule="auto"/>
              <w:jc w:val="cente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单位</w:t>
            </w:r>
          </w:p>
        </w:tc>
        <w:tc>
          <w:tcPr>
            <w:tcW w:w="1180" w:type="dxa"/>
            <w:noWrap w:val="0"/>
            <w:vAlign w:val="center"/>
          </w:tcPr>
          <w:p w14:paraId="086A0E1B">
            <w:pPr>
              <w:pStyle w:val="4"/>
              <w:keepNext w:val="0"/>
              <w:keepLines w:val="0"/>
              <w:pageBreakBefore w:val="0"/>
              <w:kinsoku/>
              <w:overflowPunct/>
              <w:topLinePunct w:val="0"/>
              <w:autoSpaceDE/>
              <w:autoSpaceDN/>
              <w:bidi w:val="0"/>
              <w:adjustRightInd/>
              <w:spacing w:before="120" w:beforeLines="50" w:beforeAutospacing="0" w:after="0" w:afterAutospacing="0" w:line="240" w:lineRule="auto"/>
              <w:jc w:val="cente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成交供应商(个）</w:t>
            </w:r>
          </w:p>
        </w:tc>
        <w:tc>
          <w:tcPr>
            <w:tcW w:w="1234" w:type="dxa"/>
            <w:noWrap w:val="0"/>
            <w:vAlign w:val="center"/>
          </w:tcPr>
          <w:p w14:paraId="79E6A385">
            <w:pPr>
              <w:pStyle w:val="4"/>
              <w:keepNext w:val="0"/>
              <w:keepLines w:val="0"/>
              <w:pageBreakBefore w:val="0"/>
              <w:kinsoku/>
              <w:overflowPunct/>
              <w:topLinePunct w:val="0"/>
              <w:autoSpaceDE/>
              <w:autoSpaceDN/>
              <w:bidi w:val="0"/>
              <w:adjustRightInd/>
              <w:spacing w:before="120" w:beforeLines="50" w:beforeAutospacing="0" w:after="0" w:afterAutospacing="0" w:line="240" w:lineRule="auto"/>
              <w:jc w:val="cente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需求部门</w:t>
            </w:r>
          </w:p>
        </w:tc>
      </w:tr>
      <w:tr w14:paraId="00F98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699" w:type="dxa"/>
            <w:noWrap w:val="0"/>
            <w:vAlign w:val="center"/>
          </w:tcPr>
          <w:p w14:paraId="781E08B4">
            <w:pPr>
              <w:pStyle w:val="4"/>
              <w:keepNext w:val="0"/>
              <w:keepLines w:val="0"/>
              <w:pageBreakBefore w:val="0"/>
              <w:kinsoku/>
              <w:overflowPunct/>
              <w:topLinePunct w:val="0"/>
              <w:autoSpaceDE/>
              <w:autoSpaceDN/>
              <w:bidi w:val="0"/>
              <w:adjustRightInd/>
              <w:spacing w:before="120" w:beforeLines="50" w:beforeAutospacing="0" w:after="0" w:afterAutospacing="0" w:line="240" w:lineRule="auto"/>
              <w:jc w:val="cente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1</w:t>
            </w:r>
          </w:p>
        </w:tc>
        <w:tc>
          <w:tcPr>
            <w:tcW w:w="1875" w:type="dxa"/>
            <w:noWrap w:val="0"/>
            <w:vAlign w:val="center"/>
          </w:tcPr>
          <w:p w14:paraId="72762C89">
            <w:pPr>
              <w:keepNext w:val="0"/>
              <w:keepLines w:val="0"/>
              <w:pageBreakBefore w:val="0"/>
              <w:widowControl/>
              <w:kinsoku/>
              <w:overflowPunct/>
              <w:topLinePunct w:val="0"/>
              <w:autoSpaceDE/>
              <w:autoSpaceDN/>
              <w:bidi w:val="0"/>
              <w:adjustRightInd/>
              <w:spacing w:line="240" w:lineRule="auto"/>
              <w:jc w:val="center"/>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120</w:t>
            </w:r>
            <w:r>
              <w:rPr>
                <w:rFonts w:hint="eastAsia" w:ascii="仿宋_GB2312" w:hAnsi="仿宋_GB2312" w:eastAsia="仿宋_GB2312" w:cs="仿宋_GB2312"/>
                <w:i w:val="0"/>
                <w:iCs w:val="0"/>
                <w:caps w:val="0"/>
                <w:color w:val="000000"/>
                <w:spacing w:val="0"/>
                <w:sz w:val="24"/>
                <w:szCs w:val="24"/>
                <w:lang w:val="en-US" w:eastAsia="zh-CN"/>
              </w:rPr>
              <w:t>调度</w:t>
            </w:r>
            <w:r>
              <w:rPr>
                <w:rFonts w:hint="eastAsia" w:ascii="仿宋_GB2312" w:hAnsi="仿宋_GB2312" w:eastAsia="仿宋_GB2312" w:cs="仿宋_GB2312"/>
                <w:color w:val="000000"/>
                <w:sz w:val="24"/>
                <w:szCs w:val="24"/>
                <w:lang w:val="en-US" w:eastAsia="zh-CN"/>
              </w:rPr>
              <w:t>工作站</w:t>
            </w:r>
          </w:p>
        </w:tc>
        <w:tc>
          <w:tcPr>
            <w:tcW w:w="1369" w:type="dxa"/>
            <w:noWrap w:val="0"/>
            <w:vAlign w:val="center"/>
          </w:tcPr>
          <w:p w14:paraId="1F7A58DC">
            <w:pPr>
              <w:keepNext w:val="0"/>
              <w:keepLines w:val="0"/>
              <w:pageBreakBefore w:val="0"/>
              <w:widowControl/>
              <w:kinsoku/>
              <w:overflowPunct/>
              <w:topLinePunct w:val="0"/>
              <w:autoSpaceDE/>
              <w:autoSpaceDN/>
              <w:bidi w:val="0"/>
              <w:adjustRightInd/>
              <w:spacing w:line="240" w:lineRule="auto"/>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2</w:t>
            </w:r>
          </w:p>
        </w:tc>
        <w:tc>
          <w:tcPr>
            <w:tcW w:w="1181" w:type="dxa"/>
            <w:noWrap w:val="0"/>
            <w:vAlign w:val="center"/>
          </w:tcPr>
          <w:p w14:paraId="3C00BDA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仿宋_GB2312" w:hAnsi="仿宋_GB2312" w:eastAsia="仿宋_GB2312" w:cs="仿宋_GB2312"/>
                <w:color w:val="000000"/>
                <w:kern w:val="2"/>
                <w:sz w:val="24"/>
                <w:szCs w:val="24"/>
                <w:lang w:eastAsia="zh-CN"/>
              </w:rPr>
            </w:pPr>
            <w:r>
              <w:rPr>
                <w:rFonts w:hint="eastAsia" w:ascii="仿宋_GB2312" w:hAnsi="仿宋_GB2312" w:eastAsia="仿宋_GB2312" w:cs="仿宋_GB2312"/>
                <w:color w:val="000000"/>
                <w:kern w:val="2"/>
                <w:sz w:val="24"/>
                <w:szCs w:val="24"/>
                <w:lang w:val="en-US" w:eastAsia="zh-CN"/>
              </w:rPr>
              <w:t>2</w:t>
            </w:r>
          </w:p>
        </w:tc>
        <w:tc>
          <w:tcPr>
            <w:tcW w:w="788" w:type="dxa"/>
            <w:noWrap w:val="0"/>
            <w:vAlign w:val="center"/>
          </w:tcPr>
          <w:p w14:paraId="1660D5A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仿宋_GB2312" w:hAnsi="仿宋_GB2312" w:eastAsia="仿宋_GB2312" w:cs="仿宋_GB2312"/>
                <w:color w:val="000000"/>
                <w:kern w:val="2"/>
                <w:sz w:val="24"/>
                <w:szCs w:val="24"/>
                <w:lang w:val="en-US" w:eastAsia="zh-CN"/>
              </w:rPr>
            </w:pPr>
            <w:r>
              <w:rPr>
                <w:rFonts w:hint="eastAsia" w:ascii="仿宋_GB2312" w:hAnsi="仿宋_GB2312" w:eastAsia="仿宋_GB2312" w:cs="仿宋_GB2312"/>
                <w:color w:val="000000"/>
                <w:kern w:val="2"/>
                <w:sz w:val="24"/>
                <w:szCs w:val="24"/>
                <w:lang w:val="en-US" w:eastAsia="zh-CN"/>
              </w:rPr>
              <w:t>套</w:t>
            </w:r>
          </w:p>
        </w:tc>
        <w:tc>
          <w:tcPr>
            <w:tcW w:w="1180" w:type="dxa"/>
            <w:noWrap w:val="0"/>
            <w:vAlign w:val="center"/>
          </w:tcPr>
          <w:p w14:paraId="1F3199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1</w:t>
            </w:r>
          </w:p>
        </w:tc>
        <w:tc>
          <w:tcPr>
            <w:tcW w:w="1234" w:type="dxa"/>
            <w:noWrap w:val="0"/>
            <w:vAlign w:val="center"/>
          </w:tcPr>
          <w:p w14:paraId="67DF54F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仿宋_GB2312" w:hAnsi="仿宋_GB2312" w:eastAsia="仿宋_GB2312" w:cs="仿宋_GB2312"/>
                <w:color w:val="000000"/>
                <w:kern w:val="2"/>
                <w:sz w:val="24"/>
                <w:szCs w:val="24"/>
                <w:lang w:val="en-US" w:eastAsia="zh-CN"/>
              </w:rPr>
            </w:pPr>
            <w:r>
              <w:rPr>
                <w:rFonts w:hint="eastAsia" w:ascii="仿宋_GB2312" w:hAnsi="仿宋_GB2312" w:eastAsia="仿宋_GB2312" w:cs="仿宋_GB2312"/>
                <w:color w:val="000000"/>
                <w:kern w:val="2"/>
                <w:sz w:val="24"/>
                <w:szCs w:val="24"/>
                <w:lang w:val="en-US" w:eastAsia="zh-CN"/>
              </w:rPr>
              <w:t>院前120</w:t>
            </w:r>
          </w:p>
        </w:tc>
      </w:tr>
    </w:tbl>
    <w:p w14:paraId="60CAE172"/>
    <w:p w14:paraId="6B5B53D2">
      <w:pPr>
        <w:rPr>
          <w:rFonts w:hint="eastAsia"/>
          <w:lang w:val="en-US" w:eastAsia="zh-CN"/>
        </w:rPr>
      </w:pPr>
    </w:p>
    <w:p w14:paraId="165A9BA6">
      <w:pPr>
        <w:pStyle w:val="3"/>
        <w:keepNext/>
        <w:keepLines/>
        <w:pageBreakBefore w:val="0"/>
        <w:widowControl w:val="0"/>
        <w:kinsoku/>
        <w:wordWrap/>
        <w:overflowPunct/>
        <w:topLinePunct w:val="0"/>
        <w:autoSpaceDE/>
        <w:autoSpaceDN/>
        <w:bidi w:val="0"/>
        <w:adjustRightInd/>
        <w:snapToGrid/>
        <w:spacing w:before="140" w:after="140" w:line="240" w:lineRule="auto"/>
        <w:jc w:val="left"/>
        <w:textAlignment w:val="auto"/>
        <w:rPr>
          <w:rFonts w:hint="eastAsia"/>
          <w:b/>
          <w:sz w:val="28"/>
          <w:szCs w:val="22"/>
          <w:lang w:val="en-US" w:eastAsia="zh-CN"/>
        </w:rPr>
      </w:pPr>
      <w:r>
        <w:rPr>
          <w:rFonts w:hint="eastAsia"/>
          <w:b/>
          <w:sz w:val="28"/>
          <w:szCs w:val="22"/>
          <w:lang w:val="en-US" w:eastAsia="zh-CN"/>
        </w:rPr>
        <w:t>一、参数要求</w:t>
      </w:r>
    </w:p>
    <w:p w14:paraId="44BB31BB">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每套120工作站的参数要求如下：</w:t>
      </w:r>
    </w:p>
    <w:p w14:paraId="26425AEF">
      <w:pPr>
        <w:rPr>
          <w:rFonts w:hint="default"/>
          <w:lang w:val="en-US" w:eastAsia="zh-CN"/>
        </w:rPr>
      </w:pPr>
    </w:p>
    <w:tbl>
      <w:tblPr>
        <w:tblStyle w:val="5"/>
        <w:tblW w:w="816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0"/>
        <w:gridCol w:w="1800"/>
        <w:gridCol w:w="3986"/>
        <w:gridCol w:w="930"/>
        <w:gridCol w:w="810"/>
      </w:tblGrid>
      <w:tr w14:paraId="084EF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3A46CC">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序号</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4B97D5">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项目</w:t>
            </w:r>
          </w:p>
        </w:tc>
        <w:tc>
          <w:tcPr>
            <w:tcW w:w="3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DC4CE">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要求</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F2490E">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单位</w:t>
            </w:r>
          </w:p>
        </w:tc>
        <w:tc>
          <w:tcPr>
            <w:tcW w:w="8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9F5E1C">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数量</w:t>
            </w:r>
          </w:p>
        </w:tc>
      </w:tr>
      <w:tr w14:paraId="585B0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E523EF">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EBB2EB">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CPU</w:t>
            </w:r>
          </w:p>
        </w:tc>
        <w:tc>
          <w:tcPr>
            <w:tcW w:w="3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7D8C8">
            <w:pPr>
              <w:jc w:val="center"/>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不低于12代i7</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1A5D1F">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个</w:t>
            </w:r>
          </w:p>
        </w:tc>
        <w:tc>
          <w:tcPr>
            <w:tcW w:w="8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C72C6">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w:t>
            </w:r>
          </w:p>
        </w:tc>
      </w:tr>
      <w:tr w14:paraId="40DA0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0FC1E4">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2</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ACC13D">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风扇</w:t>
            </w:r>
          </w:p>
        </w:tc>
        <w:tc>
          <w:tcPr>
            <w:tcW w:w="3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79C92">
            <w:pPr>
              <w:jc w:val="center"/>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配套CPU风扇</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FD698B">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个</w:t>
            </w:r>
          </w:p>
        </w:tc>
        <w:tc>
          <w:tcPr>
            <w:tcW w:w="8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3555A1">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w:t>
            </w:r>
          </w:p>
        </w:tc>
      </w:tr>
      <w:tr w14:paraId="443AC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C2BCFC">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3</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5CB675">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内存</w:t>
            </w:r>
          </w:p>
        </w:tc>
        <w:tc>
          <w:tcPr>
            <w:tcW w:w="3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3253C">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不低于16G；DDR4;主频不低于3200</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3100F">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个</w:t>
            </w:r>
          </w:p>
        </w:tc>
        <w:tc>
          <w:tcPr>
            <w:tcW w:w="8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E69593">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w:t>
            </w:r>
          </w:p>
        </w:tc>
      </w:tr>
      <w:tr w14:paraId="2EBB4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F2322D">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4</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15C12A">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硬盘</w:t>
            </w:r>
          </w:p>
        </w:tc>
        <w:tc>
          <w:tcPr>
            <w:tcW w:w="3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5ABEB">
            <w:pPr>
              <w:jc w:val="center"/>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固态硬盘容量不小于1T</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02476E">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个</w:t>
            </w:r>
          </w:p>
        </w:tc>
        <w:tc>
          <w:tcPr>
            <w:tcW w:w="8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9EEE42">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w:t>
            </w:r>
          </w:p>
        </w:tc>
      </w:tr>
      <w:tr w14:paraId="658D3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BF331C">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5</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55B213">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主板</w:t>
            </w:r>
          </w:p>
        </w:tc>
        <w:tc>
          <w:tcPr>
            <w:tcW w:w="3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C0A72">
            <w:pPr>
              <w:jc w:val="center"/>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配套CPU主板(带无线网卡)</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673A63">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个</w:t>
            </w:r>
          </w:p>
        </w:tc>
        <w:tc>
          <w:tcPr>
            <w:tcW w:w="8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31BEDF">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w:t>
            </w:r>
          </w:p>
        </w:tc>
      </w:tr>
      <w:tr w14:paraId="2970E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0F04CA">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6</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233328">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显卡</w:t>
            </w:r>
          </w:p>
        </w:tc>
        <w:tc>
          <w:tcPr>
            <w:tcW w:w="3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4AE08">
            <w:pPr>
              <w:jc w:val="center"/>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显存不低于4G</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AE5812">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个</w:t>
            </w:r>
          </w:p>
        </w:tc>
        <w:tc>
          <w:tcPr>
            <w:tcW w:w="8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0883D9">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w:t>
            </w:r>
          </w:p>
        </w:tc>
      </w:tr>
      <w:tr w14:paraId="054D3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B711FB">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7</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40721C">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机箱</w:t>
            </w:r>
          </w:p>
        </w:tc>
        <w:tc>
          <w:tcPr>
            <w:tcW w:w="3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50582">
            <w:pPr>
              <w:jc w:val="center"/>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配套机箱</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32E9FA">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个</w:t>
            </w:r>
          </w:p>
        </w:tc>
        <w:tc>
          <w:tcPr>
            <w:tcW w:w="8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7955FA">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w:t>
            </w:r>
          </w:p>
        </w:tc>
      </w:tr>
      <w:tr w14:paraId="70971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exac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AC0811">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8</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CC139">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电源</w:t>
            </w:r>
          </w:p>
        </w:tc>
        <w:tc>
          <w:tcPr>
            <w:tcW w:w="3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CD2366">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能稳定运行，不低于300W</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A7A6FF">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个</w:t>
            </w:r>
          </w:p>
        </w:tc>
        <w:tc>
          <w:tcPr>
            <w:tcW w:w="8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61EE39">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w:t>
            </w:r>
          </w:p>
        </w:tc>
      </w:tr>
      <w:tr w14:paraId="0AFD2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F75303">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9</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2F7B75">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hdmi线</w:t>
            </w:r>
          </w:p>
        </w:tc>
        <w:tc>
          <w:tcPr>
            <w:tcW w:w="3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7269C">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不低于2米</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9E2135">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根</w:t>
            </w:r>
          </w:p>
        </w:tc>
        <w:tc>
          <w:tcPr>
            <w:tcW w:w="8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C90A78">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2</w:t>
            </w:r>
          </w:p>
        </w:tc>
      </w:tr>
      <w:tr w14:paraId="64F3D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4" w:hRule="exact"/>
          <w:jc w:val="center"/>
        </w:trPr>
        <w:tc>
          <w:tcPr>
            <w:tcW w:w="6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CB0B76">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10</w:t>
            </w:r>
          </w:p>
        </w:tc>
        <w:tc>
          <w:tcPr>
            <w:tcW w:w="18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08D3D9">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显示器</w:t>
            </w:r>
          </w:p>
        </w:tc>
        <w:tc>
          <w:tcPr>
            <w:tcW w:w="39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6FAFF">
            <w:pPr>
              <w:jc w:val="center"/>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直面屏幕/24寸/分辨率不低于2K</w:t>
            </w:r>
          </w:p>
        </w:tc>
        <w:tc>
          <w:tcPr>
            <w:tcW w:w="93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8BA02F">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台</w:t>
            </w:r>
          </w:p>
        </w:tc>
        <w:tc>
          <w:tcPr>
            <w:tcW w:w="8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EC67E9">
            <w:pPr>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2</w:t>
            </w:r>
          </w:p>
        </w:tc>
      </w:tr>
    </w:tbl>
    <w:p w14:paraId="51F44F31">
      <w:pPr>
        <w:jc w:val="center"/>
        <w:rPr>
          <w:rFonts w:hint="default"/>
          <w:lang w:val="en-US" w:eastAsia="zh-CN"/>
        </w:rPr>
      </w:pPr>
    </w:p>
    <w:p w14:paraId="3619A428">
      <w:pPr>
        <w:pStyle w:val="3"/>
        <w:keepNext/>
        <w:keepLines/>
        <w:pageBreakBefore w:val="0"/>
        <w:widowControl w:val="0"/>
        <w:kinsoku/>
        <w:wordWrap/>
        <w:overflowPunct/>
        <w:topLinePunct w:val="0"/>
        <w:autoSpaceDE/>
        <w:autoSpaceDN/>
        <w:bidi w:val="0"/>
        <w:adjustRightInd/>
        <w:snapToGrid/>
        <w:spacing w:before="140" w:after="140" w:line="240" w:lineRule="auto"/>
        <w:jc w:val="left"/>
        <w:textAlignment w:val="auto"/>
        <w:rPr>
          <w:rFonts w:hint="eastAsia"/>
          <w:b/>
          <w:sz w:val="28"/>
          <w:szCs w:val="22"/>
          <w:lang w:val="en-US" w:eastAsia="zh-CN"/>
        </w:rPr>
      </w:pPr>
      <w:r>
        <w:rPr>
          <w:rFonts w:hint="eastAsia"/>
          <w:b/>
          <w:sz w:val="28"/>
          <w:szCs w:val="22"/>
          <w:lang w:val="en-US" w:eastAsia="zh-CN"/>
        </w:rPr>
        <w:t>二、报价要求</w:t>
      </w:r>
    </w:p>
    <w:p w14:paraId="550DE78C">
      <w:pPr>
        <w:keepNext w:val="0"/>
        <w:keepLines w:val="0"/>
        <w:pageBreakBefore w:val="0"/>
        <w:kinsoku/>
        <w:overflowPunct/>
        <w:topLinePunct w:val="0"/>
        <w:autoSpaceDE/>
        <w:autoSpaceDN/>
        <w:bidi w:val="0"/>
        <w:adjustRightInd/>
        <w:spacing w:line="240" w:lineRule="auto"/>
        <w:ind w:firstLine="480" w:firstLineChars="200"/>
        <w:rPr>
          <w:rFonts w:hint="eastAsia" w:ascii="仿宋_GB2312" w:hAnsi="仿宋_GB2312" w:eastAsia="仿宋_GB2312" w:cs="仿宋_GB2312"/>
          <w:color w:val="000000"/>
          <w:sz w:val="24"/>
          <w:szCs w:val="24"/>
        </w:rPr>
      </w:pPr>
      <w:bookmarkStart w:id="0" w:name="_Toc4791"/>
      <w:bookmarkStart w:id="1" w:name="_Toc2072"/>
      <w:bookmarkStart w:id="2" w:name="_Toc76373878"/>
      <w:bookmarkStart w:id="3" w:name="_Toc31843"/>
      <w:bookmarkStart w:id="4" w:name="_Toc17944"/>
      <w:bookmarkStart w:id="5" w:name="_Toc1768"/>
      <w:bookmarkStart w:id="6" w:name="_Toc15650"/>
      <w:bookmarkStart w:id="7" w:name="_Toc24122"/>
      <w:bookmarkStart w:id="8" w:name="_Toc7794"/>
      <w:bookmarkStart w:id="9" w:name="_Toc17524"/>
      <w:r>
        <w:rPr>
          <w:rFonts w:hint="eastAsia" w:ascii="仿宋_GB2312" w:hAnsi="仿宋_GB2312" w:eastAsia="仿宋_GB2312" w:cs="仿宋_GB2312"/>
          <w:b w:val="0"/>
          <w:bCs/>
          <w:color w:val="000000"/>
          <w:sz w:val="24"/>
          <w:szCs w:val="24"/>
          <w:lang w:val="en-US" w:eastAsia="zh-CN"/>
        </w:rPr>
        <w:t>1、</w:t>
      </w:r>
      <w:bookmarkEnd w:id="0"/>
      <w:bookmarkEnd w:id="1"/>
      <w:bookmarkEnd w:id="2"/>
      <w:bookmarkEnd w:id="3"/>
      <w:bookmarkEnd w:id="4"/>
      <w:bookmarkEnd w:id="5"/>
      <w:bookmarkEnd w:id="6"/>
      <w:bookmarkEnd w:id="7"/>
      <w:bookmarkEnd w:id="8"/>
      <w:bookmarkEnd w:id="9"/>
      <w:r>
        <w:rPr>
          <w:rFonts w:hint="eastAsia" w:ascii="仿宋_GB2312" w:hAnsi="仿宋_GB2312" w:eastAsia="仿宋_GB2312" w:cs="仿宋_GB2312"/>
          <w:kern w:val="0"/>
          <w:sz w:val="24"/>
          <w:szCs w:val="24"/>
        </w:rPr>
        <w:t>本次报价须为人民币报价，包含：货物、技术资料、货物的税费、运输费、安装费、保险费、包装费、装卸费、培训费、与货物有关的竞选人应纳的税费、售后服务费与医院信息系统接口费等货到采购人指定地点的所有费用及安装验收费用。</w:t>
      </w:r>
      <w:r>
        <w:rPr>
          <w:rFonts w:hint="eastAsia" w:ascii="仿宋_GB2312" w:hAnsi="仿宋_GB2312" w:eastAsia="仿宋_GB2312" w:cs="仿宋_GB2312"/>
          <w:color w:val="000000"/>
          <w:kern w:val="0"/>
          <w:sz w:val="24"/>
          <w:szCs w:val="24"/>
        </w:rPr>
        <w:t>因为中选人自身原因造成漏报、少报皆由其自行承担责任，采购人不再补偿。</w:t>
      </w:r>
    </w:p>
    <w:p w14:paraId="7E86ECA0">
      <w:pPr>
        <w:keepNext w:val="0"/>
        <w:keepLines w:val="0"/>
        <w:pageBreakBefore w:val="0"/>
        <w:kinsoku/>
        <w:overflowPunct/>
        <w:topLinePunct w:val="0"/>
        <w:autoSpaceDE/>
        <w:autoSpaceDN/>
        <w:bidi w:val="0"/>
        <w:adjustRightInd/>
        <w:spacing w:line="240" w:lineRule="auto"/>
        <w:ind w:firstLine="480" w:firstLineChars="200"/>
        <w:rPr>
          <w:rFonts w:hint="eastAsia"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lang w:val="en-US" w:eastAsia="zh-CN"/>
        </w:rPr>
        <w:t>2、货安装完成后之日起，所投产品保修期不低于1年。</w:t>
      </w:r>
    </w:p>
    <w:p w14:paraId="47678F90">
      <w:pPr>
        <w:keepNext w:val="0"/>
        <w:keepLines w:val="0"/>
        <w:pageBreakBefore w:val="0"/>
        <w:kinsoku/>
        <w:overflowPunct/>
        <w:topLinePunct w:val="0"/>
        <w:autoSpaceDE/>
        <w:autoSpaceDN/>
        <w:bidi w:val="0"/>
        <w:adjustRightInd/>
        <w:spacing w:line="240" w:lineRule="auto"/>
        <w:ind w:firstLine="480" w:firstLineChars="200"/>
        <w:rPr>
          <w:rFonts w:hint="default" w:ascii="仿宋_GB2312" w:hAnsi="仿宋_GB2312" w:eastAsia="仿宋_GB2312" w:cs="仿宋_GB2312"/>
          <w:b w:val="0"/>
          <w:bCs/>
          <w:color w:val="000000"/>
          <w:sz w:val="24"/>
          <w:szCs w:val="24"/>
          <w:lang w:val="en-US" w:eastAsia="zh-CN"/>
        </w:rPr>
      </w:pPr>
      <w:r>
        <w:rPr>
          <w:rFonts w:hint="eastAsia" w:ascii="仿宋_GB2312" w:hAnsi="仿宋_GB2312" w:eastAsia="仿宋_GB2312" w:cs="仿宋_GB2312"/>
          <w:b w:val="0"/>
          <w:bCs/>
          <w:color w:val="000000"/>
          <w:sz w:val="24"/>
          <w:szCs w:val="24"/>
          <w:lang w:val="en-US" w:eastAsia="zh-CN"/>
        </w:rPr>
        <w:t>3、最低报价非中选的唯一条件，将综合考虑配置、保修期等因素。</w:t>
      </w:r>
    </w:p>
    <w:p w14:paraId="608337F1">
      <w:pPr>
        <w:pStyle w:val="3"/>
        <w:keepNext/>
        <w:keepLines/>
        <w:pageBreakBefore w:val="0"/>
        <w:widowControl w:val="0"/>
        <w:kinsoku/>
        <w:wordWrap/>
        <w:overflowPunct/>
        <w:topLinePunct w:val="0"/>
        <w:autoSpaceDE/>
        <w:autoSpaceDN/>
        <w:bidi w:val="0"/>
        <w:adjustRightInd/>
        <w:snapToGrid/>
        <w:spacing w:before="140" w:after="140" w:line="240" w:lineRule="auto"/>
        <w:jc w:val="left"/>
        <w:textAlignment w:val="auto"/>
        <w:rPr>
          <w:rFonts w:hint="eastAsia"/>
          <w:b/>
          <w:sz w:val="28"/>
          <w:szCs w:val="22"/>
          <w:lang w:val="en-US" w:eastAsia="zh-CN"/>
        </w:rPr>
      </w:pPr>
      <w:r>
        <w:rPr>
          <w:rFonts w:hint="eastAsia"/>
          <w:b/>
          <w:sz w:val="28"/>
          <w:szCs w:val="22"/>
          <w:lang w:val="en-US" w:eastAsia="zh-CN"/>
        </w:rPr>
        <w:t>三、注意事项：</w:t>
      </w:r>
    </w:p>
    <w:p w14:paraId="32E0AA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pacing w:before="0" w:beforeAutospacing="0" w:after="0" w:afterAutospacing="0" w:line="240" w:lineRule="auto"/>
        <w:ind w:left="0" w:right="0" w:firstLine="420"/>
        <w:jc w:val="both"/>
        <w:rPr>
          <w:rFonts w:hint="eastAsia" w:ascii="仿宋_GB2312" w:hAnsi="仿宋_GB2312" w:eastAsia="仿宋_GB2312" w:cs="仿宋_GB2312"/>
          <w:i w:val="0"/>
          <w:iCs w:val="0"/>
          <w:caps w:val="0"/>
          <w:color w:val="000000"/>
          <w:spacing w:val="0"/>
          <w:sz w:val="24"/>
          <w:szCs w:val="24"/>
          <w:lang w:val="en-US" w:eastAsia="zh-CN"/>
        </w:rPr>
      </w:pPr>
      <w:r>
        <w:rPr>
          <w:rFonts w:hint="eastAsia" w:ascii="仿宋_GB2312" w:hAnsi="仿宋_GB2312" w:eastAsia="仿宋_GB2312" w:cs="仿宋_GB2312"/>
          <w:i w:val="0"/>
          <w:iCs w:val="0"/>
          <w:caps w:val="0"/>
          <w:color w:val="000000"/>
          <w:spacing w:val="0"/>
          <w:sz w:val="24"/>
          <w:szCs w:val="24"/>
          <w:lang w:val="en-US" w:eastAsia="zh-CN"/>
        </w:rPr>
        <w:t>1、报价人需在</w:t>
      </w:r>
      <w:r>
        <w:rPr>
          <w:rFonts w:hint="eastAsia" w:ascii="仿宋_GB2312" w:hAnsi="仿宋_GB2312" w:eastAsia="仿宋_GB2312" w:cs="仿宋_GB2312"/>
          <w:i w:val="0"/>
          <w:iCs w:val="0"/>
          <w:caps w:val="0"/>
          <w:color w:val="000000"/>
          <w:spacing w:val="0"/>
          <w:sz w:val="24"/>
          <w:szCs w:val="24"/>
        </w:rPr>
        <w:t>202</w:t>
      </w:r>
      <w:r>
        <w:rPr>
          <w:rFonts w:hint="eastAsia" w:ascii="仿宋_GB2312" w:hAnsi="仿宋_GB2312" w:eastAsia="仿宋_GB2312" w:cs="仿宋_GB2312"/>
          <w:i w:val="0"/>
          <w:iCs w:val="0"/>
          <w:caps w:val="0"/>
          <w:color w:val="000000"/>
          <w:spacing w:val="0"/>
          <w:sz w:val="24"/>
          <w:szCs w:val="24"/>
          <w:lang w:val="en-US" w:eastAsia="zh-CN"/>
        </w:rPr>
        <w:t>6</w:t>
      </w:r>
      <w:r>
        <w:rPr>
          <w:rFonts w:hint="eastAsia" w:ascii="仿宋_GB2312" w:hAnsi="仿宋_GB2312" w:eastAsia="仿宋_GB2312" w:cs="仿宋_GB2312"/>
          <w:i w:val="0"/>
          <w:iCs w:val="0"/>
          <w:caps w:val="0"/>
          <w:color w:val="000000"/>
          <w:spacing w:val="0"/>
          <w:sz w:val="24"/>
          <w:szCs w:val="24"/>
        </w:rPr>
        <w:t>年</w:t>
      </w:r>
      <w:r>
        <w:rPr>
          <w:rFonts w:hint="eastAsia" w:ascii="仿宋_GB2312" w:hAnsi="仿宋_GB2312" w:eastAsia="仿宋_GB2312" w:cs="仿宋_GB2312"/>
          <w:i w:val="0"/>
          <w:iCs w:val="0"/>
          <w:caps w:val="0"/>
          <w:color w:val="000000"/>
          <w:spacing w:val="0"/>
          <w:sz w:val="24"/>
          <w:szCs w:val="24"/>
          <w:lang w:val="en-US" w:eastAsia="zh-CN"/>
        </w:rPr>
        <w:t>09</w:t>
      </w:r>
      <w:r>
        <w:rPr>
          <w:rFonts w:hint="eastAsia" w:ascii="仿宋_GB2312" w:hAnsi="仿宋_GB2312" w:eastAsia="仿宋_GB2312" w:cs="仿宋_GB2312"/>
          <w:i w:val="0"/>
          <w:iCs w:val="0"/>
          <w:caps w:val="0"/>
          <w:color w:val="000000"/>
          <w:spacing w:val="0"/>
          <w:sz w:val="24"/>
          <w:szCs w:val="24"/>
        </w:rPr>
        <w:t>月</w:t>
      </w:r>
      <w:r>
        <w:rPr>
          <w:rFonts w:hint="eastAsia" w:ascii="仿宋_GB2312" w:hAnsi="仿宋_GB2312" w:eastAsia="仿宋_GB2312" w:cs="仿宋_GB2312"/>
          <w:i w:val="0"/>
          <w:iCs w:val="0"/>
          <w:caps w:val="0"/>
          <w:color w:val="000000"/>
          <w:spacing w:val="0"/>
          <w:sz w:val="24"/>
          <w:szCs w:val="24"/>
          <w:lang w:val="en-US" w:eastAsia="zh-CN"/>
        </w:rPr>
        <w:t>29</w:t>
      </w:r>
      <w:r>
        <w:rPr>
          <w:rFonts w:hint="eastAsia" w:ascii="仿宋_GB2312" w:hAnsi="仿宋_GB2312" w:eastAsia="仿宋_GB2312" w:cs="仿宋_GB2312"/>
          <w:i w:val="0"/>
          <w:iCs w:val="0"/>
          <w:caps w:val="0"/>
          <w:color w:val="000000"/>
          <w:spacing w:val="0"/>
          <w:sz w:val="24"/>
          <w:szCs w:val="24"/>
        </w:rPr>
        <w:t>日下午</w:t>
      </w:r>
      <w:r>
        <w:rPr>
          <w:rFonts w:hint="eastAsia" w:ascii="仿宋_GB2312" w:hAnsi="仿宋_GB2312" w:eastAsia="仿宋_GB2312" w:cs="仿宋_GB2312"/>
          <w:i w:val="0"/>
          <w:iCs w:val="0"/>
          <w:caps w:val="0"/>
          <w:color w:val="000000"/>
          <w:spacing w:val="0"/>
          <w:sz w:val="24"/>
          <w:szCs w:val="24"/>
          <w:lang w:val="en-US" w:eastAsia="zh-CN"/>
        </w:rPr>
        <w:t>17:30前提交加盖公章的</w:t>
      </w:r>
      <w:r>
        <w:rPr>
          <w:rStyle w:val="7"/>
          <w:rFonts w:hint="eastAsia" w:ascii="仿宋_GB2312" w:hAnsi="仿宋_GB2312" w:eastAsia="仿宋_GB2312" w:cs="仿宋_GB2312"/>
          <w:b/>
          <w:bCs/>
          <w:i w:val="0"/>
          <w:iCs w:val="0"/>
          <w:caps w:val="0"/>
          <w:color w:val="000000"/>
          <w:spacing w:val="0"/>
          <w:sz w:val="24"/>
          <w:szCs w:val="24"/>
          <w:u w:val="single"/>
          <w:lang w:val="en-US" w:eastAsia="zh-CN"/>
        </w:rPr>
        <w:t>报价单</w:t>
      </w:r>
      <w:r>
        <w:rPr>
          <w:rFonts w:hint="eastAsia" w:ascii="仿宋_GB2312" w:hAnsi="仿宋_GB2312" w:eastAsia="仿宋_GB2312" w:cs="仿宋_GB2312"/>
          <w:i w:val="0"/>
          <w:iCs w:val="0"/>
          <w:caps w:val="0"/>
          <w:color w:val="000000"/>
          <w:spacing w:val="0"/>
          <w:sz w:val="24"/>
          <w:szCs w:val="24"/>
        </w:rPr>
        <w:t>资料</w:t>
      </w:r>
      <w:r>
        <w:rPr>
          <w:rFonts w:hint="eastAsia" w:ascii="仿宋_GB2312" w:hAnsi="仿宋_GB2312" w:eastAsia="仿宋_GB2312" w:cs="仿宋_GB2312"/>
          <w:i w:val="0"/>
          <w:iCs w:val="0"/>
          <w:caps w:val="0"/>
          <w:color w:val="000000"/>
          <w:spacing w:val="0"/>
          <w:sz w:val="24"/>
          <w:szCs w:val="24"/>
          <w:lang w:eastAsia="zh-CN"/>
        </w:rPr>
        <w:t>，</w:t>
      </w:r>
      <w:r>
        <w:rPr>
          <w:rFonts w:hint="eastAsia" w:ascii="仿宋_GB2312" w:hAnsi="仿宋_GB2312" w:eastAsia="仿宋_GB2312" w:cs="仿宋_GB2312"/>
          <w:i w:val="0"/>
          <w:iCs w:val="0"/>
          <w:caps w:val="0"/>
          <w:color w:val="000000"/>
          <w:spacing w:val="0"/>
          <w:sz w:val="24"/>
          <w:szCs w:val="24"/>
          <w:lang w:val="en-US" w:eastAsia="zh-CN"/>
        </w:rPr>
        <w:t>过时无效。</w:t>
      </w:r>
    </w:p>
    <w:p w14:paraId="0E2C63B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pacing w:before="0" w:beforeAutospacing="0" w:after="0" w:afterAutospacing="0" w:line="240" w:lineRule="auto"/>
        <w:ind w:left="0" w:right="0" w:firstLine="420"/>
        <w:jc w:val="both"/>
        <w:rPr>
          <w:rFonts w:hint="default" w:ascii="仿宋_GB2312" w:hAnsi="仿宋_GB2312" w:eastAsia="仿宋_GB2312" w:cs="仿宋_GB2312"/>
          <w:i w:val="0"/>
          <w:iCs w:val="0"/>
          <w:caps w:val="0"/>
          <w:color w:val="000000"/>
          <w:spacing w:val="0"/>
          <w:sz w:val="24"/>
          <w:szCs w:val="24"/>
          <w:lang w:val="en-US" w:eastAsia="zh-CN"/>
        </w:rPr>
      </w:pPr>
      <w:r>
        <w:rPr>
          <w:rFonts w:hint="eastAsia" w:ascii="仿宋_GB2312" w:hAnsi="仿宋_GB2312" w:eastAsia="仿宋_GB2312" w:cs="仿宋_GB2312"/>
          <w:i w:val="0"/>
          <w:iCs w:val="0"/>
          <w:caps w:val="0"/>
          <w:color w:val="000000"/>
          <w:spacing w:val="0"/>
          <w:sz w:val="24"/>
          <w:szCs w:val="24"/>
          <w:lang w:val="en-US" w:eastAsia="zh-CN"/>
        </w:rPr>
        <w:t>2、</w:t>
      </w:r>
      <w:r>
        <w:rPr>
          <w:rFonts w:hint="eastAsia" w:ascii="仿宋_GB2312" w:hAnsi="仿宋_GB2312" w:eastAsia="仿宋_GB2312" w:cs="仿宋_GB2312"/>
          <w:i w:val="0"/>
          <w:iCs w:val="0"/>
          <w:caps w:val="0"/>
          <w:color w:val="000000"/>
          <w:spacing w:val="0"/>
          <w:sz w:val="24"/>
          <w:szCs w:val="24"/>
        </w:rPr>
        <w:t>地点：重庆市渝中区</w:t>
      </w:r>
      <w:r>
        <w:rPr>
          <w:rFonts w:hint="eastAsia" w:ascii="仿宋_GB2312" w:hAnsi="仿宋_GB2312" w:eastAsia="仿宋_GB2312" w:cs="仿宋_GB2312"/>
          <w:i w:val="0"/>
          <w:iCs w:val="0"/>
          <w:caps w:val="0"/>
          <w:color w:val="000000"/>
          <w:spacing w:val="0"/>
          <w:sz w:val="24"/>
          <w:szCs w:val="24"/>
          <w:lang w:val="en-US" w:eastAsia="zh-CN"/>
        </w:rPr>
        <w:t>重庆市急救医疗中心信息科会议室</w:t>
      </w:r>
      <w:r>
        <w:rPr>
          <w:rFonts w:hint="eastAsia" w:ascii="仿宋_GB2312" w:hAnsi="仿宋_GB2312" w:eastAsia="仿宋_GB2312" w:cs="仿宋_GB2312"/>
          <w:i w:val="0"/>
          <w:iCs w:val="0"/>
          <w:caps w:val="0"/>
          <w:color w:val="000000"/>
          <w:spacing w:val="0"/>
          <w:sz w:val="24"/>
          <w:szCs w:val="24"/>
          <w:lang w:eastAsia="zh-CN"/>
        </w:rPr>
        <w:t>。</w:t>
      </w:r>
    </w:p>
    <w:p w14:paraId="225BBFD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pacing w:before="0" w:beforeAutospacing="0" w:after="0" w:afterAutospacing="0" w:line="240" w:lineRule="auto"/>
        <w:ind w:right="0"/>
        <w:jc w:val="both"/>
        <w:rPr>
          <w:rFonts w:hint="eastAsia" w:ascii="仿宋_GB2312" w:hAnsi="仿宋_GB2312" w:eastAsia="仿宋_GB2312" w:cs="仿宋_GB2312"/>
          <w:i w:val="0"/>
          <w:iCs w:val="0"/>
          <w:caps w:val="0"/>
          <w:color w:val="000000"/>
          <w:spacing w:val="0"/>
          <w:sz w:val="24"/>
          <w:szCs w:val="24"/>
          <w:lang w:val="en-US" w:eastAsia="zh-CN"/>
        </w:rPr>
      </w:pPr>
    </w:p>
    <w:p w14:paraId="0343872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pacing w:before="0" w:beforeAutospacing="0" w:after="0" w:afterAutospacing="0" w:line="240" w:lineRule="auto"/>
        <w:ind w:left="0" w:right="0" w:firstLine="42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i w:val="0"/>
          <w:iCs w:val="0"/>
          <w:caps w:val="0"/>
          <w:color w:val="000000"/>
          <w:spacing w:val="0"/>
          <w:sz w:val="24"/>
          <w:szCs w:val="24"/>
        </w:rPr>
        <w:t>联系人：</w:t>
      </w:r>
      <w:r>
        <w:rPr>
          <w:rFonts w:hint="eastAsia" w:ascii="仿宋_GB2312" w:hAnsi="仿宋_GB2312" w:eastAsia="仿宋_GB2312" w:cs="仿宋_GB2312"/>
          <w:i w:val="0"/>
          <w:iCs w:val="0"/>
          <w:caps w:val="0"/>
          <w:color w:val="000000"/>
          <w:spacing w:val="0"/>
          <w:sz w:val="24"/>
          <w:szCs w:val="24"/>
          <w:lang w:val="en-US" w:eastAsia="zh-CN"/>
        </w:rPr>
        <w:t>曹</w:t>
      </w:r>
      <w:r>
        <w:rPr>
          <w:rFonts w:hint="eastAsia" w:ascii="仿宋_GB2312" w:hAnsi="仿宋_GB2312" w:eastAsia="仿宋_GB2312" w:cs="仿宋_GB2312"/>
          <w:i w:val="0"/>
          <w:iCs w:val="0"/>
          <w:caps w:val="0"/>
          <w:color w:val="000000"/>
          <w:spacing w:val="0"/>
          <w:sz w:val="24"/>
          <w:szCs w:val="24"/>
        </w:rPr>
        <w:t>老师、 023-</w:t>
      </w:r>
      <w:r>
        <w:rPr>
          <w:rFonts w:hint="eastAsia" w:ascii="仿宋_GB2312" w:hAnsi="仿宋_GB2312" w:eastAsia="仿宋_GB2312" w:cs="仿宋_GB2312"/>
          <w:i w:val="0"/>
          <w:iCs w:val="0"/>
          <w:caps w:val="0"/>
          <w:color w:val="000000"/>
          <w:spacing w:val="0"/>
          <w:sz w:val="24"/>
          <w:szCs w:val="24"/>
          <w:lang w:val="en-US" w:eastAsia="zh-CN"/>
        </w:rPr>
        <w:t>63692408</w:t>
      </w:r>
    </w:p>
    <w:p w14:paraId="238BC4C0">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800002BF" w:usb1="38CF7CFA" w:usb2="00000016"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c2YWJhYjQxMmYzNDkwNTA4NDYxOTczOTYxOWU2ODIifQ=="/>
  </w:docVars>
  <w:rsids>
    <w:rsidRoot w:val="00000000"/>
    <w:rsid w:val="01230611"/>
    <w:rsid w:val="092E2FE0"/>
    <w:rsid w:val="0CAE6912"/>
    <w:rsid w:val="114333D7"/>
    <w:rsid w:val="14F10958"/>
    <w:rsid w:val="17E709F2"/>
    <w:rsid w:val="1B2D5B08"/>
    <w:rsid w:val="266B71CA"/>
    <w:rsid w:val="28064964"/>
    <w:rsid w:val="2A931A54"/>
    <w:rsid w:val="2E2E67A8"/>
    <w:rsid w:val="3BA40DED"/>
    <w:rsid w:val="3C2569CF"/>
    <w:rsid w:val="40BC26A4"/>
    <w:rsid w:val="41E16AB8"/>
    <w:rsid w:val="47104406"/>
    <w:rsid w:val="4A5D3E90"/>
    <w:rsid w:val="527D4F02"/>
    <w:rsid w:val="566B7DEB"/>
    <w:rsid w:val="5D362E7F"/>
    <w:rsid w:val="5DDC6E31"/>
    <w:rsid w:val="637D30BC"/>
    <w:rsid w:val="641208C9"/>
    <w:rsid w:val="6DE67A1B"/>
    <w:rsid w:val="6ED529FF"/>
    <w:rsid w:val="73760167"/>
    <w:rsid w:val="766823AB"/>
    <w:rsid w:val="77C75995"/>
    <w:rsid w:val="79065900"/>
    <w:rsid w:val="7E6416AA"/>
    <w:rsid w:val="7EB024EF"/>
    <w:rsid w:val="7F044B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customStyle="1" w:styleId="8">
    <w:name w:val="font41"/>
    <w:basedOn w:val="6"/>
    <w:qFormat/>
    <w:uiPriority w:val="0"/>
    <w:rPr>
      <w:rFonts w:hint="default" w:ascii="Arial" w:hAnsi="Arial" w:cs="Arial"/>
      <w:b/>
      <w:bCs/>
      <w:color w:val="000000"/>
      <w:sz w:val="20"/>
      <w:szCs w:val="20"/>
      <w:u w:val="none"/>
    </w:rPr>
  </w:style>
  <w:style w:type="character" w:customStyle="1" w:styleId="9">
    <w:name w:val="font31"/>
    <w:basedOn w:val="6"/>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548</Words>
  <Characters>607</Characters>
  <Lines>0</Lines>
  <Paragraphs>0</Paragraphs>
  <TotalTime>0</TotalTime>
  <ScaleCrop>false</ScaleCrop>
  <LinksUpToDate>false</LinksUpToDate>
  <CharactersWithSpaces>608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2025-09-29T00:48:00Z</dcterms:created>
  <dc:creator>Administrator</dc:creator>
  <cp:lastModifiedBy>刘畅</cp:lastModifiedBy>
  <dcterms:modified xsi:type="dcterms:W3CDTF">2026-09-23T07:01:53Z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3D325E1BAEF845A48371D89D33602410_13</vt:lpwstr>
  </property>
  <property fmtid="{D5CDD505-2E9C-101B-9397-08002B2CF9AE}" pid="4" name="KSOTemplateDocerSaveRecord">
    <vt:lpwstr>eyJoZGlkIjoiZTY5OGExYmE3YTkzMDk1YmZlZTI5M2ZiOTZjYWMwMjciLCJ1c2VySWQiOiIxMTcwMTYxMzUzIn0=</vt:lpwstr>
  </property>
</Properties>
</file>