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2" w:name="_GoBack"/>
      <w:bookmarkEnd w:id="2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甘胆酸、血清淀粉样蛋白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需求公告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12</w:t>
      </w:r>
    </w:p>
    <w:p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发布时间：201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9</w:t>
      </w:r>
    </w:p>
    <w:p>
      <w:pPr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重庆市第四人民医院本着公平、公正、公开、诚信的原则，拟对本单位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的甘胆酸、血清淀粉样蛋白采购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竞争性磋商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现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诚邀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有合格资质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和良好配送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能力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且试剂经过使用者的前期性能评价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的供应商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参与竞争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一、产品目录及要求：</w:t>
      </w:r>
    </w:p>
    <w:tbl>
      <w:tblPr>
        <w:tblStyle w:val="6"/>
        <w:tblW w:w="8209" w:type="dxa"/>
        <w:jc w:val="center"/>
        <w:tblInd w:w="-6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2534"/>
        <w:gridCol w:w="4200"/>
        <w:gridCol w:w="9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25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4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产品用途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使用科室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1 </w:t>
            </w:r>
          </w:p>
        </w:tc>
        <w:tc>
          <w:tcPr>
            <w:tcW w:w="25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甘胆酸检测试剂</w:t>
            </w:r>
          </w:p>
        </w:tc>
        <w:tc>
          <w:tcPr>
            <w:tcW w:w="4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用于血甘胆酸检测，评价肝细胞及其肝胆系物质循环功能。</w:t>
            </w:r>
          </w:p>
        </w:tc>
        <w:tc>
          <w:tcPr>
            <w:tcW w:w="99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检验科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</w:t>
            </w:r>
          </w:p>
        </w:tc>
        <w:tc>
          <w:tcPr>
            <w:tcW w:w="25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血清淀粉样蛋白检测试剂</w:t>
            </w:r>
          </w:p>
        </w:tc>
        <w:tc>
          <w:tcPr>
            <w:tcW w:w="4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用于血清淀粉样蛋白检测，评价人体细菌和病毒感染情况。</w:t>
            </w:r>
          </w:p>
        </w:tc>
        <w:tc>
          <w:tcPr>
            <w:tcW w:w="991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产品技术要求：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2.1甘胆酸检测试剂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2.1.1线性范围：1.5-80 mg/L或更宽，性能评价时决定系数R2&gt;0.95。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2.1.2精密度：三浓度水平（L1、L2、L3）CV&lt;5%。结果没有明显偏高或偏低情况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2.1.3准确性：与质控靶值的相对偏差(绝对值)&lt;5%。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ab/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2.1.4临床符合率：阴性符合率&gt;95%; 阳性符合率&gt;95%。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*2.1.5性能评价：试剂经过使用者的前期性能评价。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2.2血清淀粉样蛋白检测试剂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2.2.1线性范围：5.0-200 mg/L或更宽，性能评价时决定系数R2&gt;0.95。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2.2.2精密度：三浓度水平（L1、L2、L3）CV&lt;5%。结果没有明显偏高或偏低情况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2.2.3准确性：与质控靶值的相对偏差(绝对值)&lt;5%。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ab/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2.2.4临床符合率：阴性符合率&gt;95%; 阳性符合率&gt;95%。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*2.2.5性能评价：试剂经过使用者的前期性能评价。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所投标产品属三类医疗器械的，投标人须具备有效期内《医疗器械经营企业许可证》或《医疗器械经营许可证》；所投标产品属二类医疗器械的，投标人须具备有效期内《医疗器械经营企业许可证》或《第二类医疗器械经营备案凭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投标单位（供应商）必须是重庆药交所注册会员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投标单位在重庆应有仓储库房，具有较好的物流配送能力（一般在接到医院送货通知后当日或次日能送货到指定地点）。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3.4投标人需具有完善的销售供应和售后服务保障体系。对于出现不符合质量标准的产品包退包换；须于接到采购人售后服务通知的1个工作日内，派专业人员上门处理相关服务需求。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投标单位须提供以下资质证明文件原件或复印件及其它要求的材料。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.4投标单位法定代表人签发的授权委托书（须明确授权范围）及身份证明（复印件加盖鲜章）；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“信用中国”网站(www.creditchina.gov.cn)、"中国政府采购网"(www.ccgp.gov.cn)等渠道查询供应商信用记录；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3.5.7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投标单位《医疗器械经营企业许可证》或《第二类医疗器械经营备案凭证》（复印件加盖鲜章）；《重庆药品交易所入市协议》、《法人单位数字证书申请表》（复印件加盖鲜章）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四、商务要求：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4.1提供投标产品在重庆三甲医院用户名单、联系人及联系电话；</w:t>
      </w:r>
    </w:p>
    <w:p>
      <w:pPr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4.2供应商在重庆地区具有较强的售后服务能力；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4.3产品生产企业注册资金在500万元以上；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5.1必须提供效期在半年以上的试剂，提供的试剂在效期内出现任何质量问题，均无条件免费更换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5.2试剂在使用过程中遇到需应用工程师解决的问题，成交供应商应及时派工程协助解决。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bookmarkStart w:id="0" w:name="_Toc267320057"/>
      <w:bookmarkStart w:id="1" w:name="_Toc421743066"/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六、评分标准：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6.1甘胆酸检测试剂评分标准</w:t>
      </w:r>
      <w:bookmarkEnd w:id="0"/>
      <w:bookmarkEnd w:id="1"/>
    </w:p>
    <w:tbl>
      <w:tblPr>
        <w:tblStyle w:val="6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39"/>
        <w:gridCol w:w="945"/>
        <w:gridCol w:w="394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 w:val="21"/>
                <w:szCs w:val="21"/>
              </w:rPr>
              <w:t>序号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 w:val="21"/>
                <w:szCs w:val="21"/>
              </w:rPr>
              <w:t>评分因素及权值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 w:val="21"/>
                <w:szCs w:val="21"/>
              </w:rPr>
              <w:t>分值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 w:val="21"/>
                <w:szCs w:val="21"/>
              </w:rPr>
              <w:t>评分标准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before="0" w:after="0" w:line="240" w:lineRule="atLeas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价格分</w:t>
            </w:r>
          </w:p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（40%）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40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有效的投标报价中的毫升最低价为评标基准价，按照下列公式计算每个投标人的投标价格得分。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投标报价得分＝（评标基准价/投标报价）×价格权重×100。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before="0" w:after="0" w:line="240" w:lineRule="atLeast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2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技术部分</w:t>
            </w:r>
          </w:p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（5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%）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A</w:t>
            </w:r>
          </w:p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线性范围(10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)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线性范围：（1.5-80mg/L或更宽）5分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满足得5分，不满足得2分。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400" w:lineRule="exact"/>
              <w:jc w:val="lef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  <w:r>
              <w:rPr>
                <w:rFonts w:ascii="方正仿宋_GBK" w:hAnsi="宋体" w:eastAsia="方正仿宋_GBK"/>
                <w:b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/>
                <w:b w:val="0"/>
                <w:sz w:val="21"/>
                <w:szCs w:val="21"/>
              </w:rPr>
              <w:t>以试剂说明书为依据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线性决定因素R</w:t>
            </w:r>
            <w:r>
              <w:rPr>
                <w:rFonts w:hint="eastAsia" w:ascii="方正仿宋_GBK" w:hAnsi="宋体" w:eastAsia="方正仿宋_GBK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≥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0.95：5分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满足得5分，不满足得0分。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400" w:lineRule="exact"/>
              <w:jc w:val="lef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B</w:t>
            </w:r>
          </w:p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精密度 (1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)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CV(L1): 4分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≤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5%得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分，5%-10%得3分，&gt;10%得0分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400" w:lineRule="exact"/>
              <w:jc w:val="lef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 w:val="0"/>
                <w:sz w:val="21"/>
                <w:szCs w:val="21"/>
              </w:rPr>
              <w:t>以评价报告为依据。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CV(L2): 4分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≤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5%得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分，5%-10%得3分，&gt;10%得0分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400" w:lineRule="exact"/>
              <w:jc w:val="lef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CV(L3): 4分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≤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5%得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分，5%-10%得3分，&gt;10%得0分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400" w:lineRule="exact"/>
              <w:jc w:val="lef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Ｃ</w:t>
            </w:r>
          </w:p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准确性(10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)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L1相对偏差（%）: 5分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≤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5%得5分，5%-10%得3分，&gt;10%得0分，未作准确性评价的得0分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tLeast"/>
              <w:jc w:val="lef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 w:val="0"/>
                <w:sz w:val="21"/>
                <w:szCs w:val="21"/>
              </w:rPr>
              <w:t>相对偏差取绝对值，结果出现明显偏高或偏低者扣3-5分，以评价报告为依据。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L2相对偏差（%）: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5分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≤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5%得5分，5%-10%得3分，&gt;10%得0分，未作准确性评价的得0分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tLeas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4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Ｄ</w:t>
            </w:r>
          </w:p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临床符合率(10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)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阴性符合率：5分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&gt;95%得5分，90-95%得3分，&lt;90%得0分</w:t>
            </w:r>
          </w:p>
        </w:tc>
        <w:tc>
          <w:tcPr>
            <w:tcW w:w="198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tLeast"/>
              <w:jc w:val="lef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 w:val="0"/>
                <w:sz w:val="21"/>
                <w:szCs w:val="21"/>
              </w:rPr>
              <w:t>以评价报告为依据。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阳性符合率：5分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&gt;95%得5分，90-95%得3分，&lt;90%得0分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tLeas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Ｅ</w:t>
            </w:r>
          </w:p>
          <w:p>
            <w:pPr>
              <w:spacing w:line="280" w:lineRule="exact"/>
              <w:rPr>
                <w:rFonts w:ascii="方正仿宋_GBK" w:hAnsi="宋体" w:eastAsia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校准品及质控品(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8分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)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校准品：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分</w:t>
            </w:r>
          </w:p>
          <w:p>
            <w:pPr>
              <w:widowControl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免费送配套校准品得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分，送非配套校准品得3分，不送校准品得0分。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送质控品保证每月不低于30测试的量。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质控品：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分</w:t>
            </w:r>
          </w:p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免费送配套质控品得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分，送非配套质控品得3分，不送质控品得0分。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3</w:t>
            </w:r>
          </w:p>
        </w:tc>
        <w:tc>
          <w:tcPr>
            <w:tcW w:w="113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商务部分</w:t>
            </w:r>
          </w:p>
          <w:p>
            <w:pPr>
              <w:widowControl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（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%）</w:t>
            </w: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市场使用情况</w:t>
            </w:r>
          </w:p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(5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)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重庆“三甲”医院有5家及以上在使用者得5分，否则得0分。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提供该产品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医院用户名单、联系人及联系电话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公司实力(3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)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生产企业注册资金在500万及以上者得3分，否则得0分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提供注册资金证明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售后服务能力（2分）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生产厂家在重庆设置有应用工程师得2分，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否则得0分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提供相应依据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6.2血清淀粉样蛋白检测试剂评分标准</w:t>
      </w:r>
    </w:p>
    <w:tbl>
      <w:tblPr>
        <w:tblStyle w:val="6"/>
        <w:tblW w:w="8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11"/>
        <w:gridCol w:w="19"/>
        <w:gridCol w:w="3958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 w:val="21"/>
                <w:szCs w:val="21"/>
              </w:rPr>
              <w:t>评分因素及权值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 w:val="21"/>
                <w:szCs w:val="21"/>
              </w:rPr>
              <w:t>分值</w:t>
            </w: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 w:val="21"/>
                <w:szCs w:val="21"/>
              </w:rPr>
              <w:t>评分标准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before="0" w:after="0" w:line="240" w:lineRule="atLeas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价格分</w:t>
            </w:r>
          </w:p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（40%）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40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有效的投标报价中的毫升最低价为评标基准价，按照下列公式计算每个投标人的投标价格得分。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投标报价得分＝（评标基准价/投标报价）×价格权重×100。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before="0" w:after="0" w:line="240" w:lineRule="atLeast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02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技术部分</w:t>
            </w:r>
          </w:p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（52%）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A</w:t>
            </w:r>
          </w:p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线性范围(10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)</w:t>
            </w: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线性范围：（5.0-200mg/L或更宽）5分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满足得5分，不满足得2分。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400" w:lineRule="exact"/>
              <w:jc w:val="lef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 w:val="0"/>
                <w:sz w:val="21"/>
                <w:szCs w:val="21"/>
              </w:rPr>
              <w:t>以试剂说明书为依据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线性决定因素R</w:t>
            </w:r>
            <w:r>
              <w:rPr>
                <w:rFonts w:hint="eastAsia" w:ascii="方正仿宋_GBK" w:hAnsi="宋体" w:eastAsia="方正仿宋_GBK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≥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0.95：5分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满足得5分，不满足得0分。</w:t>
            </w:r>
          </w:p>
        </w:tc>
        <w:tc>
          <w:tcPr>
            <w:tcW w:w="2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400" w:lineRule="exact"/>
              <w:jc w:val="lef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B</w:t>
            </w:r>
          </w:p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精密度 (12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)</w:t>
            </w: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CV(L1): 4分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≤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5%得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分，5%-10%得3分，&gt;10%得0分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400" w:lineRule="exact"/>
              <w:jc w:val="lef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 w:val="0"/>
                <w:sz w:val="21"/>
                <w:szCs w:val="21"/>
              </w:rPr>
              <w:t>以评价报告为依据。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CV(L2): 4分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≤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5%得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分，5%-10%得3分，&gt;10%得0分</w:t>
            </w: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400" w:lineRule="exact"/>
              <w:jc w:val="lef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CV(L3): 4分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≤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5%得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分，5%-10%得3分，&gt;10%得0分</w:t>
            </w:r>
          </w:p>
        </w:tc>
        <w:tc>
          <w:tcPr>
            <w:tcW w:w="2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400" w:lineRule="exact"/>
              <w:jc w:val="lef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Ｃ</w:t>
            </w:r>
          </w:p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准确性(10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)</w:t>
            </w: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L1相对偏差（%）: 5分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≤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5%得5分，5%-10%得3分，&gt;10%得0分，未作准确性评价的得0分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tLeast"/>
              <w:jc w:val="lef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 w:val="0"/>
                <w:sz w:val="21"/>
                <w:szCs w:val="21"/>
              </w:rPr>
              <w:t>相对偏差取绝对值，结果出现明显偏高或偏低者扣3-5分，以评价报告为依据。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L2相对偏差（%）: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5分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≤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5%得5分，5%-10%得3分，&gt;10%得0分，未作准确性评价的得0分</w:t>
            </w:r>
          </w:p>
        </w:tc>
        <w:tc>
          <w:tcPr>
            <w:tcW w:w="2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tLeas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Ｄ</w:t>
            </w:r>
          </w:p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临床符合率(10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)</w:t>
            </w: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阴性符合率：5分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&gt;95%得5分，90-95%得3分，&lt;90%得0分</w:t>
            </w:r>
          </w:p>
        </w:tc>
        <w:tc>
          <w:tcPr>
            <w:tcW w:w="244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tLeast"/>
              <w:jc w:val="lef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 w:val="0"/>
                <w:sz w:val="21"/>
                <w:szCs w:val="21"/>
              </w:rPr>
              <w:t>以评价报告为依据。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阳性符合率：5分</w:t>
            </w:r>
          </w:p>
          <w:p>
            <w:pPr>
              <w:spacing w:line="240" w:lineRule="atLeast"/>
              <w:ind w:firstLine="28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&gt;95%得5分，90-95%得3分，&lt;90%得0分</w:t>
            </w:r>
          </w:p>
        </w:tc>
        <w:tc>
          <w:tcPr>
            <w:tcW w:w="2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tLeast"/>
              <w:rPr>
                <w:rFonts w:ascii="方正仿宋_GBK" w:hAnsi="宋体" w:eastAsia="方正仿宋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Ｅ</w:t>
            </w:r>
          </w:p>
          <w:p>
            <w:pPr>
              <w:spacing w:line="280" w:lineRule="exact"/>
              <w:rPr>
                <w:rFonts w:ascii="方正仿宋_GBK" w:hAnsi="宋体" w:eastAsia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校准品及质控品(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8分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)</w:t>
            </w:r>
          </w:p>
        </w:tc>
        <w:tc>
          <w:tcPr>
            <w:tcW w:w="3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校准品：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分</w:t>
            </w:r>
          </w:p>
          <w:p>
            <w:pPr>
              <w:widowControl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免费送配套校准品得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分，送非配套校准品得3分，不送校准品得0分。</w:t>
            </w:r>
          </w:p>
        </w:tc>
        <w:tc>
          <w:tcPr>
            <w:tcW w:w="24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送质控品保证每月不低于30测试的量。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质控品：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分</w:t>
            </w:r>
          </w:p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免费送配套质控品得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分，送非配套质控品得3分，不送质控品得0分。</w:t>
            </w: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6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商务部分</w:t>
            </w:r>
          </w:p>
          <w:p>
            <w:pPr>
              <w:widowControl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（8%）</w:t>
            </w: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市场使用情况</w:t>
            </w:r>
          </w:p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(5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)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重庆“三甲”医院有5家及以上在使用者得5分，否则得0分。</w:t>
            </w:r>
          </w:p>
        </w:tc>
        <w:tc>
          <w:tcPr>
            <w:tcW w:w="2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提供该产品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医院用户名单、联系人及联系电话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公司实力(3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)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生产企业注册资金在500万及以上者得3分，否则得0分</w:t>
            </w:r>
          </w:p>
        </w:tc>
        <w:tc>
          <w:tcPr>
            <w:tcW w:w="2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提供注册资金证明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售后服务能力（2分）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生产厂家在重庆设置有应用工程师得2分，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否则得0分</w:t>
            </w:r>
            <w:r>
              <w:rPr>
                <w:rFonts w:hint="eastAsia" w:ascii="方正仿宋_GBK" w:hAnsi="宋体" w:eastAsia="方正仿宋_GBK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提供相应依据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投标文件要求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一式两份，其中正、副本各一份（注：封面应注明项目名称、供应商名称、联系人及电话，不需密封），报价一份（注：报价格式详见附件1，报价需密封）。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响应文件递交时限及联系方式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时限：请于201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递交地点：渝中区健康路1号（重庆市第四人民医院老大楼7-5室）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联系人及电话：郭老师 63692226。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九、磋商时间及结果公示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9.1磋商时间及地点：另行通知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9.2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中标人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9.3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95E92"/>
    <w:rsid w:val="0A1D68B3"/>
    <w:rsid w:val="101E7372"/>
    <w:rsid w:val="120D6F1B"/>
    <w:rsid w:val="2BAD3246"/>
    <w:rsid w:val="37427CC7"/>
    <w:rsid w:val="4B6E42A4"/>
    <w:rsid w:val="65DB7408"/>
    <w:rsid w:val="6AB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  <w:lang w:eastAsia="en-US" w:bidi="en-US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2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858</Characters>
  <Lines>7</Lines>
  <Paragraphs>2</Paragraphs>
  <TotalTime>0</TotalTime>
  <ScaleCrop>false</ScaleCrop>
  <LinksUpToDate>false</LinksUpToDate>
  <CharactersWithSpaces>1006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ruifox</cp:lastModifiedBy>
  <cp:lastPrinted>2018-09-11T02:51:00Z</cp:lastPrinted>
  <dcterms:modified xsi:type="dcterms:W3CDTF">2019-07-22T05:52:06Z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