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方正仿宋_GBK" w:eastAsia="方正仿宋_GBK"/>
          <w:color w:val="000000"/>
          <w:sz w:val="32"/>
        </w:rPr>
      </w:pPr>
    </w:p>
    <w:p>
      <w:pPr>
        <w:spacing w:line="600" w:lineRule="exact"/>
        <w:rPr>
          <w:rFonts w:ascii="方正仿宋_GBK" w:eastAsia="方正仿宋_GBK"/>
          <w:color w:val="000000"/>
          <w:sz w:val="32"/>
        </w:rPr>
      </w:pPr>
    </w:p>
    <w:p>
      <w:pPr>
        <w:rPr>
          <w:rFonts w:ascii="宋体" w:hAnsi="宋体"/>
          <w:color w:val="000000"/>
        </w:rPr>
      </w:pPr>
    </w:p>
    <w:p>
      <w:pPr>
        <w:rPr>
          <w:rFonts w:ascii="宋体" w:hAnsi="宋体"/>
          <w:color w:val="000000"/>
        </w:rPr>
      </w:pPr>
    </w:p>
    <w:p>
      <w:pPr>
        <w:rPr>
          <w:rFonts w:ascii="宋体" w:hAnsi="宋体"/>
          <w:color w:val="000000"/>
        </w:rPr>
      </w:pPr>
    </w:p>
    <w:p>
      <w:pPr>
        <w:pStyle w:val="25"/>
        <w:spacing w:line="360" w:lineRule="auto"/>
        <w:ind w:left="0"/>
        <w:jc w:val="center"/>
        <w:rPr>
          <w:rFonts w:eastAsia="黑体"/>
          <w:szCs w:val="44"/>
        </w:rPr>
      </w:pPr>
      <w:r>
        <w:rPr>
          <w:rFonts w:hint="eastAsia" w:ascii="方正小标宋_GBK" w:hAnsi="方正小标宋_GBK" w:eastAsia="方正小标宋_GBK" w:cs="方正小标宋_GBK"/>
          <w:sz w:val="96"/>
          <w:szCs w:val="96"/>
        </w:rPr>
        <w:t>竞争性磋商文件</w:t>
      </w: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spacing w:line="500" w:lineRule="exact"/>
        <w:jc w:val="center"/>
        <w:outlineLvl w:val="0"/>
        <w:rPr>
          <w:rFonts w:hint="default" w:ascii="方正小标宋_GBK" w:hAnsi="宋体" w:eastAsia="方正小标宋_GBK"/>
          <w:color w:val="C00000"/>
          <w:sz w:val="32"/>
          <w:lang w:val="en-US" w:eastAsia="zh-CN"/>
        </w:rPr>
      </w:pPr>
      <w:bookmarkStart w:id="0" w:name="_Toc517368016"/>
      <w:r>
        <w:rPr>
          <w:rFonts w:hint="eastAsia" w:ascii="方正小标宋_GBK" w:hAnsi="宋体" w:eastAsia="方正小标宋_GBK"/>
          <w:sz w:val="32"/>
        </w:rPr>
        <w:t>项目编号：CQSY-</w:t>
      </w:r>
      <w:r>
        <w:rPr>
          <w:rFonts w:hint="eastAsia" w:ascii="方正小标宋_GBK" w:hAnsi="宋体" w:eastAsia="方正小标宋_GBK"/>
          <w:sz w:val="32"/>
          <w:lang w:val="en-US" w:eastAsia="zh-CN"/>
        </w:rPr>
        <w:t>C</w:t>
      </w:r>
      <w:r>
        <w:rPr>
          <w:rFonts w:hint="eastAsia" w:ascii="方正小标宋_GBK" w:hAnsi="宋体" w:eastAsia="方正小标宋_GBK"/>
          <w:sz w:val="32"/>
        </w:rPr>
        <w:t>-202</w:t>
      </w:r>
      <w:bookmarkEnd w:id="0"/>
      <w:r>
        <w:rPr>
          <w:rFonts w:hint="eastAsia" w:ascii="方正小标宋_GBK" w:hAnsi="宋体" w:eastAsia="方正小标宋_GBK"/>
          <w:sz w:val="32"/>
        </w:rPr>
        <w:t>1</w:t>
      </w:r>
      <w:r>
        <w:rPr>
          <w:rFonts w:hint="eastAsia" w:ascii="方正小标宋_GBK" w:hAnsi="宋体" w:eastAsia="方正小标宋_GBK"/>
          <w:color w:val="auto"/>
          <w:sz w:val="32"/>
          <w:lang w:val="en-US" w:eastAsia="zh-CN"/>
        </w:rPr>
        <w:t>013</w:t>
      </w:r>
    </w:p>
    <w:p>
      <w:pPr>
        <w:pStyle w:val="25"/>
        <w:spacing w:line="500" w:lineRule="exact"/>
        <w:ind w:left="0"/>
        <w:jc w:val="center"/>
        <w:outlineLvl w:val="0"/>
        <w:rPr>
          <w:rFonts w:ascii="方正小标宋_GBK" w:hAnsi="宋体" w:eastAsia="方正小标宋_GBK"/>
          <w:sz w:val="32"/>
        </w:rPr>
      </w:pPr>
      <w:bookmarkStart w:id="1" w:name="_Toc517368017"/>
    </w:p>
    <w:p>
      <w:pPr>
        <w:pStyle w:val="25"/>
        <w:spacing w:line="500" w:lineRule="exact"/>
        <w:ind w:left="0"/>
        <w:jc w:val="center"/>
        <w:outlineLvl w:val="0"/>
        <w:rPr>
          <w:rFonts w:hint="eastAsia" w:ascii="方正小标宋_GBK" w:hAnsi="宋体" w:eastAsia="方正小标宋_GBK"/>
          <w:sz w:val="32"/>
          <w:lang w:eastAsia="zh-CN"/>
        </w:rPr>
      </w:pPr>
      <w:r>
        <w:rPr>
          <w:rFonts w:hint="eastAsia" w:ascii="方正小标宋_GBK" w:hAnsi="宋体" w:eastAsia="方正小标宋_GBK"/>
          <w:sz w:val="32"/>
        </w:rPr>
        <w:t>项目名称：</w:t>
      </w:r>
      <w:bookmarkEnd w:id="1"/>
      <w:r>
        <w:rPr>
          <w:rFonts w:hint="eastAsia" w:ascii="方正小标宋_GBK" w:hAnsi="宋体" w:eastAsia="方正小标宋_GBK"/>
          <w:sz w:val="32"/>
          <w:lang w:val="en-US" w:eastAsia="zh-CN"/>
        </w:rPr>
        <w:t>进口设备外贸代理</w:t>
      </w:r>
      <w:r>
        <w:rPr>
          <w:rFonts w:hint="eastAsia" w:ascii="方正小标宋_GBK" w:hAnsi="宋体" w:eastAsia="方正小标宋_GBK"/>
          <w:color w:val="auto"/>
          <w:sz w:val="32"/>
          <w:lang w:val="en-US" w:eastAsia="zh-CN"/>
        </w:rPr>
        <w:t>服务</w:t>
      </w:r>
    </w:p>
    <w:p>
      <w:pPr>
        <w:pStyle w:val="25"/>
        <w:spacing w:line="500" w:lineRule="exact"/>
        <w:ind w:left="0"/>
        <w:jc w:val="center"/>
        <w:outlineLvl w:val="0"/>
        <w:rPr>
          <w:rFonts w:ascii="方正小标宋_GBK" w:hAnsi="宋体" w:eastAsia="方正小标宋_GBK"/>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spacing w:line="500" w:lineRule="exact"/>
        <w:jc w:val="center"/>
        <w:outlineLvl w:val="0"/>
        <w:rPr>
          <w:rFonts w:ascii="方正小标宋_GBK" w:eastAsia="方正小标宋_GBK"/>
          <w:sz w:val="36"/>
        </w:rPr>
      </w:pPr>
      <w:bookmarkStart w:id="2" w:name="_Toc517368018"/>
      <w:r>
        <w:rPr>
          <w:rFonts w:hint="eastAsia" w:ascii="方正小标宋_GBK" w:eastAsia="方正小标宋_GBK"/>
          <w:sz w:val="36"/>
        </w:rPr>
        <w:t>采购人：重庆市第四人民医院</w:t>
      </w:r>
      <w:bookmarkEnd w:id="2"/>
    </w:p>
    <w:p>
      <w:pPr>
        <w:snapToGrid w:val="0"/>
        <w:spacing w:line="500" w:lineRule="exact"/>
        <w:jc w:val="center"/>
        <w:rPr>
          <w:rFonts w:ascii="方正小标宋_GBK" w:eastAsia="方正小标宋_GBK"/>
          <w:sz w:val="36"/>
        </w:rPr>
      </w:pPr>
    </w:p>
    <w:p>
      <w:pPr>
        <w:snapToGrid w:val="0"/>
        <w:spacing w:line="500" w:lineRule="exact"/>
        <w:jc w:val="center"/>
        <w:rPr>
          <w:rFonts w:ascii="方正黑体_GBK" w:eastAsia="方正黑体_GBK"/>
          <w:sz w:val="44"/>
        </w:rPr>
      </w:pPr>
      <w:r>
        <w:rPr>
          <w:rFonts w:hint="eastAsia" w:ascii="方正黑体_GBK" w:eastAsia="方正黑体_GBK"/>
          <w:sz w:val="44"/>
        </w:rPr>
        <w:t>二〇二一年</w:t>
      </w:r>
      <w:r>
        <w:rPr>
          <w:rFonts w:hint="eastAsia" w:ascii="方正黑体_GBK" w:eastAsia="方正黑体_GBK"/>
          <w:sz w:val="44"/>
          <w:lang w:val="en-US" w:eastAsia="zh-CN"/>
        </w:rPr>
        <w:t>十</w:t>
      </w:r>
      <w:r>
        <w:rPr>
          <w:rFonts w:hint="eastAsia" w:ascii="方正黑体_GBK" w:eastAsia="方正黑体_GBK"/>
          <w:sz w:val="44"/>
        </w:rPr>
        <w:t>月</w:t>
      </w:r>
    </w:p>
    <w:p>
      <w:pPr>
        <w:snapToGrid w:val="0"/>
        <w:spacing w:line="500" w:lineRule="exact"/>
        <w:rPr>
          <w:rFonts w:ascii="方正黑体_GBK" w:eastAsia="方正黑体_GBK"/>
          <w:sz w:val="24"/>
          <w:szCs w:val="24"/>
        </w:rPr>
      </w:pPr>
    </w:p>
    <w:p>
      <w:pPr>
        <w:snapToGrid w:val="0"/>
        <w:spacing w:line="500" w:lineRule="exact"/>
        <w:rPr>
          <w:rFonts w:eastAsia="黑体"/>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fmt="decimal"/>
          <w:cols w:space="720" w:num="1"/>
          <w:titlePg/>
          <w:docGrid w:linePitch="312" w:charSpace="0"/>
        </w:sectPr>
      </w:pPr>
    </w:p>
    <w:p>
      <w:pPr>
        <w:spacing w:line="480" w:lineRule="exact"/>
        <w:jc w:val="center"/>
        <w:outlineLvl w:val="0"/>
        <w:rPr>
          <w:rFonts w:ascii="方正小标宋_GBK" w:eastAsia="方正小标宋_GBK"/>
          <w:color w:val="000000"/>
          <w:sz w:val="44"/>
          <w:szCs w:val="28"/>
        </w:rPr>
        <w:sectPr>
          <w:footerReference r:id="rId10" w:type="first"/>
          <w:footerReference r:id="rId9" w:type="default"/>
          <w:pgSz w:w="11907" w:h="16840"/>
          <w:pgMar w:top="1134" w:right="1418" w:bottom="1134" w:left="1418" w:header="851" w:footer="992" w:gutter="0"/>
          <w:pgNumType w:fmt="decimal"/>
          <w:cols w:space="720" w:num="1"/>
          <w:titlePg/>
          <w:docGrid w:linePitch="381" w:charSpace="-5735"/>
        </w:sectPr>
      </w:pPr>
    </w:p>
    <w:p>
      <w:pPr>
        <w:spacing w:line="480" w:lineRule="exact"/>
        <w:jc w:val="center"/>
        <w:outlineLvl w:val="0"/>
        <w:rPr>
          <w:rFonts w:ascii="方正小标宋_GBK" w:eastAsia="方正小标宋_GBK"/>
          <w:color w:val="000000"/>
          <w:sz w:val="36"/>
          <w:szCs w:val="36"/>
        </w:rPr>
      </w:pPr>
      <w:r>
        <w:rPr>
          <w:rFonts w:hint="eastAsia" w:ascii="方正小标宋_GBK" w:eastAsia="方正小标宋_GBK"/>
          <w:color w:val="000000"/>
          <w:sz w:val="36"/>
          <w:szCs w:val="36"/>
        </w:rPr>
        <w:t xml:space="preserve"> 目   录</w:t>
      </w:r>
    </w:p>
    <w:p>
      <w:pPr>
        <w:spacing w:line="480" w:lineRule="exact"/>
        <w:jc w:val="center"/>
        <w:outlineLvl w:val="0"/>
        <w:rPr>
          <w:rFonts w:ascii="方正小标宋_GBK" w:eastAsia="方正小标宋_GBK"/>
          <w:color w:val="000000"/>
          <w:sz w:val="21"/>
          <w:szCs w:val="21"/>
        </w:rPr>
      </w:pPr>
    </w:p>
    <w:p>
      <w:pPr>
        <w:pStyle w:val="50"/>
        <w:tabs>
          <w:tab w:val="right" w:leader="dot" w:pos="9071"/>
        </w:tabs>
      </w:pPr>
      <w:r>
        <w:rPr>
          <w:rFonts w:hint="eastAsia" w:ascii="宋体" w:hAnsi="宋体"/>
          <w:color w:val="000000"/>
          <w:sz w:val="21"/>
          <w:szCs w:val="21"/>
        </w:rPr>
        <w:fldChar w:fldCharType="begin"/>
      </w:r>
      <w:r>
        <w:rPr>
          <w:rFonts w:hint="eastAsia" w:ascii="宋体" w:hAnsi="宋体"/>
          <w:color w:val="000000"/>
          <w:sz w:val="21"/>
          <w:szCs w:val="21"/>
        </w:rPr>
        <w:instrText xml:space="preserve"> TOC \o "1-3" \h \z </w:instrText>
      </w:r>
      <w:r>
        <w:rPr>
          <w:rFonts w:hint="eastAsia" w:ascii="宋体" w:hAnsi="宋体"/>
          <w:color w:val="000000"/>
          <w:sz w:val="21"/>
          <w:szCs w:val="21"/>
        </w:rPr>
        <w:fldChar w:fldCharType="separate"/>
      </w:r>
      <w:r>
        <w:rPr>
          <w:rFonts w:hint="eastAsia" w:ascii="宋体" w:hAnsi="宋体"/>
          <w:color w:val="000000"/>
          <w:szCs w:val="21"/>
        </w:rPr>
        <w:fldChar w:fldCharType="begin"/>
      </w:r>
      <w:r>
        <w:rPr>
          <w:rFonts w:hint="eastAsia" w:ascii="宋体" w:hAnsi="宋体"/>
          <w:szCs w:val="21"/>
        </w:rPr>
        <w:instrText xml:space="preserve"> HYPERLINK \l _Toc25435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第一篇  竞争性磋商邀请书</w:t>
      </w:r>
      <w:r>
        <w:tab/>
      </w:r>
      <w:r>
        <w:fldChar w:fldCharType="begin"/>
      </w:r>
      <w:r>
        <w:instrText xml:space="preserve"> PAGEREF _Toc25435 </w:instrText>
      </w:r>
      <w:r>
        <w:fldChar w:fldCharType="separate"/>
      </w:r>
      <w:r>
        <w:t>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_Toc6767 </w:instrText>
      </w:r>
      <w:r>
        <w:rPr>
          <w:rFonts w:hint="eastAsia" w:ascii="宋体" w:hAnsi="宋体"/>
          <w:szCs w:val="21"/>
        </w:rPr>
        <w:fldChar w:fldCharType="separate"/>
      </w:r>
      <w:r>
        <w:rPr>
          <w:rFonts w:hint="eastAsia" w:ascii="方正仿宋_GBK" w:hAnsi="方正仿宋_GBK" w:eastAsia="方正仿宋_GBK" w:cs="方正仿宋_GBK"/>
          <w:szCs w:val="24"/>
        </w:rPr>
        <w:t>一、竞争性磋商内容</w:t>
      </w:r>
      <w:r>
        <w:tab/>
      </w:r>
      <w:r>
        <w:fldChar w:fldCharType="begin"/>
      </w:r>
      <w:r>
        <w:instrText xml:space="preserve"> PAGEREF _Toc6767 </w:instrText>
      </w:r>
      <w:r>
        <w:fldChar w:fldCharType="separate"/>
      </w:r>
      <w:r>
        <w:t>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_Toc19195 </w:instrText>
      </w:r>
      <w:r>
        <w:rPr>
          <w:rFonts w:hint="eastAsia" w:ascii="宋体" w:hAnsi="宋体"/>
          <w:szCs w:val="21"/>
        </w:rPr>
        <w:fldChar w:fldCharType="separate"/>
      </w:r>
      <w:r>
        <w:rPr>
          <w:rFonts w:hint="eastAsia" w:ascii="方正仿宋_GBK" w:hAnsi="方正仿宋_GBK" w:eastAsia="方正仿宋_GBK" w:cs="方正仿宋_GBK"/>
          <w:szCs w:val="24"/>
        </w:rPr>
        <w:t>二、资金来源</w:t>
      </w:r>
      <w:r>
        <w:tab/>
      </w:r>
      <w:r>
        <w:fldChar w:fldCharType="begin"/>
      </w:r>
      <w:r>
        <w:instrText xml:space="preserve"> PAGEREF _Toc19195 </w:instrText>
      </w:r>
      <w:r>
        <w:fldChar w:fldCharType="separate"/>
      </w:r>
      <w:r>
        <w:t>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_Toc32558 </w:instrText>
      </w:r>
      <w:r>
        <w:rPr>
          <w:rFonts w:hint="eastAsia" w:ascii="宋体" w:hAnsi="宋体"/>
          <w:szCs w:val="21"/>
        </w:rPr>
        <w:fldChar w:fldCharType="separate"/>
      </w:r>
      <w:r>
        <w:rPr>
          <w:rFonts w:hint="eastAsia" w:ascii="方正仿宋_GBK" w:hAnsi="方正仿宋_GBK" w:eastAsia="方正仿宋_GBK" w:cs="方正仿宋_GBK"/>
          <w:szCs w:val="24"/>
        </w:rPr>
        <w:t>三、供应商的资格条件</w:t>
      </w:r>
      <w:r>
        <w:tab/>
      </w:r>
      <w:r>
        <w:fldChar w:fldCharType="begin"/>
      </w:r>
      <w:r>
        <w:instrText xml:space="preserve"> PAGEREF _Toc32558 </w:instrText>
      </w:r>
      <w:r>
        <w:fldChar w:fldCharType="separate"/>
      </w:r>
      <w:r>
        <w:t>5</w:t>
      </w:r>
      <w:r>
        <w:fldChar w:fldCharType="end"/>
      </w:r>
      <w:r>
        <w:rPr>
          <w:rFonts w:hint="eastAsia" w:ascii="宋体" w:hAnsi="宋体"/>
          <w:color w:val="000000"/>
          <w:szCs w:val="21"/>
        </w:rPr>
        <w:fldChar w:fldCharType="end"/>
      </w:r>
    </w:p>
    <w:p>
      <w:pPr>
        <w:pStyle w:val="50"/>
        <w:tabs>
          <w:tab w:val="right" w:leader="dot" w:pos="9071"/>
        </w:tabs>
        <w:ind w:firstLine="560" w:firstLineChars="200"/>
      </w:pPr>
      <w:r>
        <w:rPr>
          <w:rFonts w:hint="eastAsia" w:ascii="宋体" w:hAnsi="宋体"/>
          <w:color w:val="000000"/>
          <w:szCs w:val="21"/>
        </w:rPr>
        <w:fldChar w:fldCharType="begin"/>
      </w:r>
      <w:r>
        <w:rPr>
          <w:rFonts w:hint="eastAsia" w:ascii="宋体" w:hAnsi="宋体"/>
          <w:szCs w:val="21"/>
        </w:rPr>
        <w:instrText xml:space="preserve"> HYPERLINK \l _Toc31615 </w:instrText>
      </w:r>
      <w:r>
        <w:rPr>
          <w:rFonts w:hint="eastAsia" w:ascii="宋体" w:hAnsi="宋体"/>
          <w:szCs w:val="21"/>
        </w:rPr>
        <w:fldChar w:fldCharType="separate"/>
      </w:r>
      <w:r>
        <w:rPr>
          <w:rFonts w:hint="eastAsia" w:ascii="方正仿宋_GBK" w:eastAsia="方正仿宋_GBK"/>
          <w:szCs w:val="24"/>
        </w:rPr>
        <w:t>四、磋商的有关说明</w:t>
      </w:r>
      <w:r>
        <w:tab/>
      </w:r>
      <w:r>
        <w:fldChar w:fldCharType="begin"/>
      </w:r>
      <w:r>
        <w:instrText xml:space="preserve"> PAGEREF _Toc31615 </w:instrText>
      </w:r>
      <w:r>
        <w:fldChar w:fldCharType="separate"/>
      </w:r>
      <w:r>
        <w:t>5</w:t>
      </w:r>
      <w:r>
        <w:fldChar w:fldCharType="end"/>
      </w:r>
      <w:r>
        <w:rPr>
          <w:rFonts w:hint="eastAsia" w:ascii="宋体" w:hAnsi="宋体"/>
          <w:color w:val="000000"/>
          <w:szCs w:val="21"/>
        </w:rPr>
        <w:fldChar w:fldCharType="end"/>
      </w:r>
    </w:p>
    <w:p>
      <w:pPr>
        <w:pStyle w:val="50"/>
        <w:tabs>
          <w:tab w:val="right" w:leader="dot" w:pos="9071"/>
        </w:tabs>
        <w:ind w:firstLine="560" w:firstLineChars="200"/>
      </w:pPr>
      <w:r>
        <w:rPr>
          <w:rFonts w:hint="eastAsia" w:ascii="宋体" w:hAnsi="宋体"/>
          <w:color w:val="000000"/>
          <w:szCs w:val="21"/>
        </w:rPr>
        <w:fldChar w:fldCharType="begin"/>
      </w:r>
      <w:r>
        <w:rPr>
          <w:rFonts w:hint="eastAsia" w:ascii="宋体" w:hAnsi="宋体"/>
          <w:szCs w:val="21"/>
        </w:rPr>
        <w:instrText xml:space="preserve"> HYPERLINK \l _Toc15490 </w:instrText>
      </w:r>
      <w:r>
        <w:rPr>
          <w:rFonts w:hint="eastAsia" w:ascii="宋体" w:hAnsi="宋体"/>
          <w:szCs w:val="21"/>
        </w:rPr>
        <w:fldChar w:fldCharType="separate"/>
      </w:r>
      <w:r>
        <w:rPr>
          <w:rFonts w:hint="eastAsia" w:ascii="方正仿宋_GBK" w:eastAsia="方正仿宋_GBK"/>
          <w:szCs w:val="24"/>
        </w:rPr>
        <w:t>五、其它有关规定</w:t>
      </w:r>
      <w:r>
        <w:tab/>
      </w:r>
      <w:r>
        <w:fldChar w:fldCharType="begin"/>
      </w:r>
      <w:r>
        <w:instrText xml:space="preserve"> PAGEREF _Toc15490 </w:instrText>
      </w:r>
      <w:r>
        <w:fldChar w:fldCharType="separate"/>
      </w:r>
      <w:r>
        <w:t>6</w:t>
      </w:r>
      <w:r>
        <w:fldChar w:fldCharType="end"/>
      </w:r>
      <w:r>
        <w:rPr>
          <w:rFonts w:hint="eastAsia" w:ascii="宋体" w:hAnsi="宋体"/>
          <w:color w:val="000000"/>
          <w:szCs w:val="21"/>
        </w:rPr>
        <w:fldChar w:fldCharType="end"/>
      </w:r>
    </w:p>
    <w:p>
      <w:pPr>
        <w:pStyle w:val="50"/>
        <w:tabs>
          <w:tab w:val="right" w:leader="dot" w:pos="9071"/>
        </w:tabs>
        <w:ind w:firstLine="560" w:firstLineChars="200"/>
      </w:pPr>
      <w:r>
        <w:rPr>
          <w:rFonts w:hint="eastAsia" w:ascii="宋体" w:hAnsi="宋体"/>
          <w:color w:val="000000"/>
          <w:szCs w:val="21"/>
        </w:rPr>
        <w:fldChar w:fldCharType="begin"/>
      </w:r>
      <w:r>
        <w:rPr>
          <w:rFonts w:hint="eastAsia" w:ascii="宋体" w:hAnsi="宋体"/>
          <w:szCs w:val="21"/>
        </w:rPr>
        <w:instrText xml:space="preserve"> HYPERLINK \l _Toc5509 </w:instrText>
      </w:r>
      <w:r>
        <w:rPr>
          <w:rFonts w:hint="eastAsia" w:ascii="宋体" w:hAnsi="宋体"/>
          <w:szCs w:val="21"/>
        </w:rPr>
        <w:fldChar w:fldCharType="separate"/>
      </w:r>
      <w:r>
        <w:rPr>
          <w:rFonts w:hint="eastAsia" w:ascii="方正仿宋_GBK" w:eastAsia="方正仿宋_GBK"/>
          <w:szCs w:val="24"/>
          <w:lang w:val="en-US" w:eastAsia="zh-CN"/>
        </w:rPr>
        <w:t>六</w:t>
      </w:r>
      <w:r>
        <w:rPr>
          <w:rFonts w:hint="eastAsia" w:ascii="方正仿宋_GBK" w:eastAsia="方正仿宋_GBK"/>
          <w:szCs w:val="24"/>
        </w:rPr>
        <w:t>、联系方式</w:t>
      </w:r>
      <w:r>
        <w:tab/>
      </w:r>
      <w:r>
        <w:fldChar w:fldCharType="begin"/>
      </w:r>
      <w:r>
        <w:instrText xml:space="preserve"> PAGEREF _Toc5509 </w:instrText>
      </w:r>
      <w:r>
        <w:fldChar w:fldCharType="separate"/>
      </w:r>
      <w:r>
        <w:t>6</w:t>
      </w:r>
      <w:r>
        <w:fldChar w:fldCharType="end"/>
      </w:r>
      <w:r>
        <w:rPr>
          <w:rFonts w:hint="eastAsia" w:ascii="宋体" w:hAnsi="宋体"/>
          <w:color w:val="000000"/>
          <w:szCs w:val="21"/>
        </w:rPr>
        <w:fldChar w:fldCharType="end"/>
      </w:r>
    </w:p>
    <w:p>
      <w:pPr>
        <w:pStyle w:val="50"/>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_Toc15498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第二篇  项目</w:t>
      </w:r>
      <w:r>
        <w:rPr>
          <w:rFonts w:hint="eastAsia" w:ascii="方正小标宋_GBK" w:hAnsi="方正小标宋_GBK" w:eastAsia="方正小标宋_GBK" w:cs="方正小标宋_GBK"/>
          <w:szCs w:val="36"/>
          <w:lang w:val="en-US" w:eastAsia="zh-CN"/>
        </w:rPr>
        <w:t>服务</w:t>
      </w:r>
      <w:r>
        <w:rPr>
          <w:rFonts w:hint="eastAsia" w:ascii="方正小标宋_GBK" w:hAnsi="方正小标宋_GBK" w:eastAsia="方正小标宋_GBK" w:cs="方正小标宋_GBK"/>
          <w:szCs w:val="36"/>
        </w:rPr>
        <w:t>需求</w:t>
      </w:r>
      <w:r>
        <w:tab/>
      </w:r>
      <w:r>
        <w:fldChar w:fldCharType="begin"/>
      </w:r>
      <w:r>
        <w:instrText xml:space="preserve"> PAGEREF _Toc15498 </w:instrText>
      </w:r>
      <w:r>
        <w:fldChar w:fldCharType="separate"/>
      </w:r>
      <w:r>
        <w:t>7</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_Toc24261 </w:instrText>
      </w:r>
      <w:r>
        <w:rPr>
          <w:rFonts w:hint="eastAsia" w:ascii="宋体" w:hAnsi="宋体"/>
          <w:szCs w:val="21"/>
        </w:rPr>
        <w:fldChar w:fldCharType="separate"/>
      </w:r>
      <w:r>
        <w:rPr>
          <w:rFonts w:hint="eastAsia" w:ascii="方正仿宋_GBK" w:hAnsi="方正仿宋_GBK" w:eastAsia="方正仿宋_GBK" w:cs="方正仿宋_GBK"/>
          <w:szCs w:val="24"/>
        </w:rPr>
        <w:t>一、项目</w:t>
      </w:r>
      <w:r>
        <w:rPr>
          <w:rFonts w:hint="eastAsia" w:ascii="方正仿宋_GBK" w:hAnsi="方正仿宋_GBK" w:eastAsia="方正仿宋_GBK" w:cs="方正仿宋_GBK"/>
          <w:szCs w:val="24"/>
          <w:lang w:val="en-US" w:eastAsia="zh-CN"/>
        </w:rPr>
        <w:t>内容</w:t>
      </w:r>
      <w:r>
        <w:tab/>
      </w:r>
      <w:r>
        <w:fldChar w:fldCharType="begin"/>
      </w:r>
      <w:r>
        <w:instrText xml:space="preserve"> PAGEREF _Toc24261 </w:instrText>
      </w:r>
      <w:r>
        <w:fldChar w:fldCharType="separate"/>
      </w:r>
      <w:r>
        <w:t>7</w:t>
      </w:r>
      <w:r>
        <w:fldChar w:fldCharType="end"/>
      </w:r>
      <w:r>
        <w:rPr>
          <w:rFonts w:hint="eastAsia" w:ascii="宋体" w:hAnsi="宋体"/>
          <w:color w:val="000000"/>
          <w:szCs w:val="21"/>
        </w:rPr>
        <w:fldChar w:fldCharType="end"/>
      </w:r>
    </w:p>
    <w:p>
      <w:pPr>
        <w:pStyle w:val="50"/>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_Toc27109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第三篇  采购商务需求</w:t>
      </w:r>
      <w:r>
        <w:tab/>
      </w:r>
      <w:r>
        <w:fldChar w:fldCharType="begin"/>
      </w:r>
      <w:r>
        <w:instrText xml:space="preserve"> PAGEREF _Toc27109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_Toc3071 </w:instrText>
      </w:r>
      <w:r>
        <w:rPr>
          <w:rFonts w:hint="eastAsia" w:ascii="宋体" w:hAnsi="宋体"/>
          <w:szCs w:val="21"/>
        </w:rP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val="en-US" w:eastAsia="zh-CN"/>
        </w:rPr>
        <w:t>服务</w:t>
      </w:r>
      <w:r>
        <w:rPr>
          <w:rFonts w:hint="eastAsia" w:ascii="方正仿宋_GBK" w:hAnsi="方正仿宋_GBK" w:eastAsia="方正仿宋_GBK" w:cs="方正仿宋_GBK"/>
          <w:szCs w:val="24"/>
        </w:rPr>
        <w:t>时间、地点</w:t>
      </w:r>
      <w:r>
        <w:tab/>
      </w:r>
      <w:r>
        <w:fldChar w:fldCharType="begin"/>
      </w:r>
      <w:r>
        <w:instrText xml:space="preserve"> PAGEREF _Toc3071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_Toc20592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二</w:t>
      </w:r>
      <w:r>
        <w:rPr>
          <w:rFonts w:hint="eastAsia" w:ascii="方正仿宋_GBK" w:hAnsi="方正仿宋_GBK" w:eastAsia="方正仿宋_GBK" w:cs="方正仿宋_GBK"/>
          <w:szCs w:val="24"/>
        </w:rPr>
        <w:t>、报价要求</w:t>
      </w:r>
      <w:r>
        <w:tab/>
      </w:r>
      <w:r>
        <w:fldChar w:fldCharType="begin"/>
      </w:r>
      <w:r>
        <w:instrText xml:space="preserve"> PAGEREF _Toc20592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_Toc25429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三、结算方式</w:t>
      </w:r>
      <w:r>
        <w:tab/>
      </w:r>
      <w:r>
        <w:fldChar w:fldCharType="begin"/>
      </w:r>
      <w:r>
        <w:instrText xml:space="preserve"> PAGEREF _Toc25429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_Toc10414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四</w:t>
      </w:r>
      <w:r>
        <w:rPr>
          <w:rFonts w:hint="eastAsia" w:ascii="方正仿宋_GBK" w:hAnsi="方正仿宋_GBK" w:eastAsia="方正仿宋_GBK" w:cs="方正仿宋_GBK"/>
          <w:szCs w:val="24"/>
        </w:rPr>
        <w:t>、付款方式</w:t>
      </w:r>
      <w:r>
        <w:tab/>
      </w:r>
      <w:r>
        <w:fldChar w:fldCharType="begin"/>
      </w:r>
      <w:r>
        <w:instrText xml:space="preserve"> PAGEREF _Toc10414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_Toc17018 </w:instrText>
      </w:r>
      <w:r>
        <w:rPr>
          <w:rFonts w:hint="eastAsia" w:ascii="宋体" w:hAnsi="宋体"/>
          <w:szCs w:val="21"/>
        </w:rPr>
        <w:fldChar w:fldCharType="separate"/>
      </w:r>
      <w:r>
        <w:rPr>
          <w:rFonts w:hint="eastAsia" w:ascii="方正仿宋_GBK" w:hAnsi="方正仿宋_GBK" w:eastAsia="方正仿宋_GBK" w:cs="方正仿宋_GBK"/>
          <w:szCs w:val="24"/>
        </w:rPr>
        <w:t>五、知识产权</w:t>
      </w:r>
      <w:r>
        <w:tab/>
      </w:r>
      <w:r>
        <w:fldChar w:fldCharType="begin"/>
      </w:r>
      <w:r>
        <w:instrText xml:space="preserve"> PAGEREF _Toc17018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_Toc19392 </w:instrText>
      </w:r>
      <w:r>
        <w:rPr>
          <w:rFonts w:hint="eastAsia" w:ascii="宋体" w:hAnsi="宋体"/>
          <w:szCs w:val="21"/>
        </w:rPr>
        <w:fldChar w:fldCharType="separate"/>
      </w:r>
      <w:r>
        <w:rPr>
          <w:rFonts w:hint="eastAsia" w:ascii="方正仿宋_GBK" w:hAnsi="方正仿宋_GBK" w:eastAsia="方正仿宋_GBK" w:cs="方正仿宋_GBK"/>
          <w:szCs w:val="24"/>
        </w:rPr>
        <w:t>六、其他商务要求内容</w:t>
      </w:r>
      <w:r>
        <w:tab/>
      </w:r>
      <w:r>
        <w:fldChar w:fldCharType="begin"/>
      </w:r>
      <w:r>
        <w:instrText xml:space="preserve"> PAGEREF _Toc19392 </w:instrText>
      </w:r>
      <w:r>
        <w:fldChar w:fldCharType="separate"/>
      </w:r>
      <w:r>
        <w:t>8</w:t>
      </w:r>
      <w:r>
        <w:fldChar w:fldCharType="end"/>
      </w:r>
      <w:r>
        <w:rPr>
          <w:rFonts w:hint="eastAsia" w:ascii="宋体" w:hAnsi="宋体"/>
          <w:color w:val="000000"/>
          <w:szCs w:val="21"/>
        </w:rPr>
        <w:fldChar w:fldCharType="end"/>
      </w:r>
    </w:p>
    <w:p>
      <w:pPr>
        <w:pStyle w:val="32"/>
        <w:tabs>
          <w:tab w:val="right" w:leader="dot" w:pos="9071"/>
        </w:tabs>
        <w:ind w:left="0" w:leftChars="0" w:firstLine="560" w:firstLineChars="200"/>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_Toc16225 </w:instrText>
      </w:r>
      <w:r>
        <w:rPr>
          <w:rFonts w:hint="eastAsia" w:ascii="宋体" w:hAnsi="宋体"/>
          <w:szCs w:val="21"/>
        </w:rPr>
        <w:fldChar w:fldCharType="separate"/>
      </w:r>
      <w:r>
        <w:rPr>
          <w:rFonts w:hint="eastAsia" w:ascii="方正小标宋_GBK" w:hAnsi="方正小标宋_GBK" w:eastAsia="方正小标宋_GBK" w:cs="方正小标宋_GBK"/>
          <w:szCs w:val="36"/>
        </w:rPr>
        <w:t>第</w:t>
      </w:r>
      <w:r>
        <w:rPr>
          <w:rFonts w:hint="eastAsia" w:ascii="方正小标宋_GBK" w:hAnsi="方正小标宋_GBK" w:eastAsia="方正小标宋_GBK" w:cs="方正小标宋_GBK"/>
          <w:szCs w:val="36"/>
          <w:lang w:val="en-US" w:eastAsia="zh-CN"/>
        </w:rPr>
        <w:t>四</w:t>
      </w:r>
      <w:r>
        <w:rPr>
          <w:rFonts w:hint="eastAsia" w:ascii="方正小标宋_GBK" w:hAnsi="方正小标宋_GBK" w:eastAsia="方正小标宋_GBK" w:cs="方正小标宋_GBK"/>
          <w:szCs w:val="36"/>
        </w:rPr>
        <w:t xml:space="preserve">篇  </w:t>
      </w:r>
      <w:r>
        <w:rPr>
          <w:rFonts w:hint="eastAsia" w:ascii="方正小标宋_GBK" w:hAnsi="方正小标宋_GBK" w:eastAsia="方正小标宋_GBK" w:cs="方正小标宋_GBK"/>
          <w:kern w:val="2"/>
          <w:sz w:val="28"/>
          <w:szCs w:val="36"/>
          <w:lang w:val="en-US" w:eastAsia="zh-CN" w:bidi="ar-SA"/>
        </w:rPr>
        <w:t>磋商程序及方法、评审标准、无效响应和采购终止</w:t>
      </w:r>
      <w:r>
        <w:tab/>
      </w:r>
      <w:r>
        <w:rPr>
          <w:rFonts w:hint="eastAsia"/>
          <w:lang w:val="en-US" w:eastAsia="zh-CN"/>
        </w:rPr>
        <w:t>9</w:t>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_Toc12128 </w:instrText>
      </w:r>
      <w:r>
        <w:rPr>
          <w:rFonts w:hint="eastAsia" w:ascii="宋体" w:hAnsi="宋体"/>
          <w:szCs w:val="21"/>
        </w:rPr>
        <w:fldChar w:fldCharType="separate"/>
      </w:r>
      <w:r>
        <w:rPr>
          <w:rFonts w:hint="eastAsia" w:ascii="方正仿宋_GBK" w:hAnsi="方正仿宋_GBK" w:eastAsia="方正仿宋_GBK" w:cs="方正仿宋_GBK"/>
          <w:szCs w:val="24"/>
        </w:rPr>
        <w:t>一、磋商程序及方法</w:t>
      </w:r>
      <w:r>
        <w:tab/>
      </w:r>
      <w:r>
        <w:fldChar w:fldCharType="begin"/>
      </w:r>
      <w:r>
        <w:instrText xml:space="preserve"> PAGEREF _Toc12128 </w:instrText>
      </w:r>
      <w:r>
        <w:fldChar w:fldCharType="separate"/>
      </w:r>
      <w:r>
        <w:t>9</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_Toc15323 </w:instrText>
      </w:r>
      <w:r>
        <w:rPr>
          <w:rFonts w:hint="eastAsia" w:ascii="宋体" w:hAnsi="宋体"/>
          <w:szCs w:val="21"/>
        </w:rPr>
        <w:fldChar w:fldCharType="separate"/>
      </w:r>
      <w:r>
        <w:rPr>
          <w:rFonts w:hint="eastAsia" w:ascii="方正仿宋_GBK" w:hAnsi="方正仿宋_GBK" w:eastAsia="方正仿宋_GBK" w:cs="方正仿宋_GBK"/>
          <w:szCs w:val="24"/>
        </w:rPr>
        <w:t>二、评审标准</w:t>
      </w:r>
      <w:r>
        <w:tab/>
      </w:r>
      <w:r>
        <w:fldChar w:fldCharType="begin"/>
      </w:r>
      <w:r>
        <w:instrText xml:space="preserve"> PAGEREF _Toc15323 </w:instrText>
      </w:r>
      <w:r>
        <w:fldChar w:fldCharType="separate"/>
      </w:r>
      <w:r>
        <w:t>11</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_Toc3911 </w:instrText>
      </w:r>
      <w:r>
        <w:rPr>
          <w:rFonts w:hint="eastAsia" w:ascii="宋体" w:hAnsi="宋体"/>
          <w:szCs w:val="21"/>
        </w:rPr>
        <w:fldChar w:fldCharType="separate"/>
      </w:r>
      <w:r>
        <w:rPr>
          <w:rFonts w:hint="eastAsia" w:ascii="方正仿宋_GBK" w:hAnsi="方正仿宋_GBK" w:eastAsia="方正仿宋_GBK" w:cs="方正仿宋_GBK"/>
          <w:szCs w:val="24"/>
        </w:rPr>
        <w:t>三、无效响应</w:t>
      </w:r>
      <w:r>
        <w:tab/>
      </w:r>
      <w:r>
        <w:fldChar w:fldCharType="begin"/>
      </w:r>
      <w:r>
        <w:instrText xml:space="preserve"> PAGEREF _Toc3911 </w:instrText>
      </w:r>
      <w:r>
        <w:fldChar w:fldCharType="separate"/>
      </w:r>
      <w:r>
        <w:t>13</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_Toc3478 </w:instrText>
      </w:r>
      <w:r>
        <w:rPr>
          <w:rFonts w:hint="eastAsia" w:ascii="宋体" w:hAnsi="宋体"/>
          <w:szCs w:val="21"/>
        </w:rPr>
        <w:fldChar w:fldCharType="separate"/>
      </w:r>
      <w:r>
        <w:rPr>
          <w:rFonts w:hint="eastAsia" w:ascii="方正仿宋_GBK" w:hAnsi="方正仿宋_GBK" w:eastAsia="方正仿宋_GBK" w:cs="方正仿宋_GBK"/>
          <w:szCs w:val="24"/>
        </w:rPr>
        <w:t>四、采购终止</w:t>
      </w:r>
      <w:r>
        <w:tab/>
      </w:r>
      <w:r>
        <w:fldChar w:fldCharType="begin"/>
      </w:r>
      <w:r>
        <w:instrText xml:space="preserve"> PAGEREF _Toc3478 </w:instrText>
      </w:r>
      <w:r>
        <w:fldChar w:fldCharType="separate"/>
      </w:r>
      <w:r>
        <w:t>14</w:t>
      </w:r>
      <w:r>
        <w:fldChar w:fldCharType="end"/>
      </w:r>
      <w:r>
        <w:rPr>
          <w:rFonts w:hint="eastAsia" w:ascii="宋体" w:hAnsi="宋体"/>
          <w:color w:val="000000"/>
          <w:szCs w:val="21"/>
        </w:rPr>
        <w:fldChar w:fldCharType="end"/>
      </w:r>
    </w:p>
    <w:p>
      <w:pPr>
        <w:pStyle w:val="50"/>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_Toc16225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第五篇  供应商须知</w:t>
      </w:r>
      <w:r>
        <w:tab/>
      </w:r>
      <w:r>
        <w:fldChar w:fldCharType="begin"/>
      </w:r>
      <w:r>
        <w:instrText xml:space="preserve"> PAGEREF _Toc16225 </w:instrText>
      </w:r>
      <w:r>
        <w:fldChar w:fldCharType="separate"/>
      </w:r>
      <w:r>
        <w:t>15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_Toc8332 </w:instrText>
      </w:r>
      <w:r>
        <w:rPr>
          <w:rFonts w:hint="eastAsia" w:ascii="宋体" w:hAnsi="宋体"/>
          <w:szCs w:val="21"/>
        </w:rPr>
        <w:fldChar w:fldCharType="separate"/>
      </w:r>
      <w:r>
        <w:rPr>
          <w:rFonts w:hint="eastAsia" w:ascii="方正仿宋_GBK" w:hAnsi="方正仿宋_GBK" w:eastAsia="方正仿宋_GBK" w:cs="方正仿宋_GBK"/>
          <w:szCs w:val="24"/>
        </w:rPr>
        <w:t>一、磋商供应商</w:t>
      </w:r>
      <w:r>
        <w:tab/>
      </w:r>
      <w:r>
        <w:fldChar w:fldCharType="begin"/>
      </w:r>
      <w:r>
        <w:instrText xml:space="preserve"> PAGEREF _Toc8332 </w:instrText>
      </w:r>
      <w:r>
        <w:fldChar w:fldCharType="separate"/>
      </w:r>
      <w:r>
        <w:t>15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_Toc25437 </w:instrText>
      </w:r>
      <w:r>
        <w:rPr>
          <w:rFonts w:hint="eastAsia" w:ascii="宋体" w:hAnsi="宋体"/>
          <w:szCs w:val="21"/>
        </w:rPr>
        <w:fldChar w:fldCharType="separate"/>
      </w:r>
      <w:r>
        <w:rPr>
          <w:rFonts w:hint="eastAsia" w:ascii="方正仿宋_GBK" w:hAnsi="方正仿宋_GBK" w:eastAsia="方正仿宋_GBK" w:cs="方正仿宋_GBK"/>
          <w:szCs w:val="24"/>
        </w:rPr>
        <w:t>二、竞争性磋商文件</w:t>
      </w:r>
      <w:r>
        <w:tab/>
      </w:r>
      <w:r>
        <w:fldChar w:fldCharType="begin"/>
      </w:r>
      <w:r>
        <w:instrText xml:space="preserve"> PAGEREF _Toc25437 </w:instrText>
      </w:r>
      <w:r>
        <w:fldChar w:fldCharType="separate"/>
      </w:r>
      <w:r>
        <w:t>15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_Toc18975 </w:instrText>
      </w:r>
      <w:r>
        <w:rPr>
          <w:rFonts w:hint="eastAsia" w:ascii="宋体" w:hAnsi="宋体"/>
          <w:szCs w:val="21"/>
        </w:rPr>
        <w:fldChar w:fldCharType="separate"/>
      </w:r>
      <w:r>
        <w:rPr>
          <w:rFonts w:hint="eastAsia" w:ascii="方正仿宋_GBK" w:hAnsi="方正仿宋_GBK" w:eastAsia="方正仿宋_GBK" w:cs="方正仿宋_GBK"/>
          <w:szCs w:val="24"/>
        </w:rPr>
        <w:t>三、磋商要求</w:t>
      </w:r>
      <w:r>
        <w:tab/>
      </w:r>
      <w:r>
        <w:fldChar w:fldCharType="begin"/>
      </w:r>
      <w:r>
        <w:instrText xml:space="preserve"> PAGEREF _Toc18975 </w:instrText>
      </w:r>
      <w:r>
        <w:fldChar w:fldCharType="separate"/>
      </w:r>
      <w:r>
        <w:t>15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_Toc8610 </w:instrText>
      </w:r>
      <w:r>
        <w:rPr>
          <w:rFonts w:hint="eastAsia" w:ascii="宋体" w:hAnsi="宋体"/>
          <w:szCs w:val="21"/>
        </w:rPr>
        <w:fldChar w:fldCharType="separate"/>
      </w:r>
      <w:r>
        <w:rPr>
          <w:rFonts w:hint="eastAsia" w:ascii="方正仿宋_GBK" w:hAnsi="方正仿宋_GBK" w:eastAsia="方正仿宋_GBK" w:cs="方正仿宋_GBK"/>
          <w:szCs w:val="24"/>
        </w:rPr>
        <w:t>四、成交供应商的确认和变更</w:t>
      </w:r>
      <w:r>
        <w:tab/>
      </w:r>
      <w:r>
        <w:fldChar w:fldCharType="begin"/>
      </w:r>
      <w:r>
        <w:instrText xml:space="preserve"> PAGEREF _Toc8610 </w:instrText>
      </w:r>
      <w:r>
        <w:fldChar w:fldCharType="separate"/>
      </w:r>
      <w:r>
        <w:t>17</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_Toc27503 </w:instrText>
      </w:r>
      <w:r>
        <w:rPr>
          <w:rFonts w:hint="eastAsia" w:ascii="宋体" w:hAnsi="宋体"/>
          <w:szCs w:val="21"/>
        </w:rPr>
        <w:fldChar w:fldCharType="separate"/>
      </w:r>
      <w:r>
        <w:rPr>
          <w:rFonts w:hint="eastAsia" w:ascii="方正仿宋_GBK" w:hAnsi="方正仿宋_GBK" w:eastAsia="方正仿宋_GBK" w:cs="方正仿宋_GBK"/>
          <w:szCs w:val="24"/>
        </w:rPr>
        <w:t>五、成交通知</w:t>
      </w:r>
      <w:r>
        <w:tab/>
      </w:r>
      <w:r>
        <w:fldChar w:fldCharType="begin"/>
      </w:r>
      <w:r>
        <w:instrText xml:space="preserve"> PAGEREF _Toc27503 </w:instrText>
      </w:r>
      <w:r>
        <w:fldChar w:fldCharType="separate"/>
      </w:r>
      <w:r>
        <w:t>17</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_Toc508 </w:instrText>
      </w:r>
      <w:r>
        <w:rPr>
          <w:rFonts w:hint="eastAsia" w:ascii="宋体" w:hAnsi="宋体"/>
          <w:szCs w:val="21"/>
        </w:rPr>
        <w:fldChar w:fldCharType="separate"/>
      </w:r>
      <w:r>
        <w:rPr>
          <w:rFonts w:hint="eastAsia" w:ascii="方正仿宋_GBK" w:hAnsi="方正仿宋_GBK" w:eastAsia="方正仿宋_GBK" w:cs="方正仿宋_GBK"/>
          <w:szCs w:val="24"/>
        </w:rPr>
        <w:t>六、关于质疑和投诉</w:t>
      </w:r>
      <w:r>
        <w:tab/>
      </w:r>
      <w:r>
        <w:fldChar w:fldCharType="begin"/>
      </w:r>
      <w:r>
        <w:instrText xml:space="preserve"> PAGEREF _Toc508 </w:instrText>
      </w:r>
      <w:r>
        <w:fldChar w:fldCharType="separate"/>
      </w:r>
      <w:r>
        <w:t>17</w:t>
      </w:r>
      <w:r>
        <w:fldChar w:fldCharType="end"/>
      </w:r>
      <w:r>
        <w:rPr>
          <w:rFonts w:hint="eastAsia" w:ascii="宋体" w:hAnsi="宋体"/>
          <w:color w:val="000000"/>
          <w:szCs w:val="21"/>
        </w:rPr>
        <w:fldChar w:fldCharType="end"/>
      </w:r>
    </w:p>
    <w:p>
      <w:pPr>
        <w:pStyle w:val="50"/>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_Toc29612 </w:instrText>
      </w:r>
      <w:r>
        <w:rPr>
          <w:rFonts w:hint="eastAsia" w:ascii="宋体" w:hAnsi="宋体"/>
          <w:szCs w:val="21"/>
        </w:rPr>
        <w:fldChar w:fldCharType="separate"/>
      </w:r>
      <w:r>
        <w:rPr>
          <w:rFonts w:hint="eastAsia" w:ascii="方正小标宋_GBK" w:hAnsi="方正小标宋_GBK" w:eastAsia="方正小标宋_GBK" w:cs="方正小标宋_GBK"/>
          <w:szCs w:val="36"/>
        </w:rPr>
        <w:t>第六篇  响应文件编制要求</w:t>
      </w:r>
      <w:r>
        <w:tab/>
      </w:r>
      <w:r>
        <w:fldChar w:fldCharType="begin"/>
      </w:r>
      <w:r>
        <w:instrText xml:space="preserve"> PAGEREF _Toc29612 </w:instrText>
      </w:r>
      <w:r>
        <w:fldChar w:fldCharType="separate"/>
      </w:r>
      <w:r>
        <w:t>19</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_Toc2818 </w:instrText>
      </w:r>
      <w:r>
        <w:rPr>
          <w:rFonts w:hint="eastAsia" w:ascii="宋体" w:hAnsi="宋体"/>
          <w:szCs w:val="21"/>
        </w:rPr>
        <w:fldChar w:fldCharType="separate"/>
      </w:r>
      <w:r>
        <w:rPr>
          <w:rFonts w:hint="eastAsia" w:ascii="方正仿宋_GBK" w:hAnsi="方正仿宋_GBK" w:eastAsia="方正仿宋_GBK" w:cs="方正仿宋_GBK"/>
          <w:szCs w:val="24"/>
        </w:rPr>
        <w:t>一、响应文件封面</w:t>
      </w:r>
      <w:r>
        <w:tab/>
      </w:r>
      <w:r>
        <w:fldChar w:fldCharType="begin"/>
      </w:r>
      <w:r>
        <w:instrText xml:space="preserve"> PAGEREF _Toc2818 </w:instrText>
      </w:r>
      <w:r>
        <w:fldChar w:fldCharType="separate"/>
      </w:r>
      <w:r>
        <w:t>20</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_Toc6779 </w:instrText>
      </w:r>
      <w:r>
        <w:rPr>
          <w:rFonts w:hint="eastAsia" w:ascii="宋体" w:hAnsi="宋体"/>
          <w:szCs w:val="21"/>
        </w:rPr>
        <w:fldChar w:fldCharType="separate"/>
      </w:r>
      <w:r>
        <w:rPr>
          <w:rFonts w:hint="eastAsia" w:ascii="方正仿宋_GBK" w:hAnsi="方正仿宋_GBK" w:eastAsia="方正仿宋_GBK" w:cs="方正仿宋_GBK"/>
          <w:szCs w:val="24"/>
        </w:rPr>
        <w:t>二、经济部分</w:t>
      </w:r>
      <w:r>
        <w:tab/>
      </w:r>
      <w:r>
        <w:fldChar w:fldCharType="begin"/>
      </w:r>
      <w:r>
        <w:instrText xml:space="preserve"> PAGEREF _Toc6779 </w:instrText>
      </w:r>
      <w:r>
        <w:fldChar w:fldCharType="separate"/>
      </w:r>
      <w:r>
        <w:t>21</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_Toc23440 </w:instrText>
      </w:r>
      <w:r>
        <w:rPr>
          <w:rFonts w:hint="eastAsia" w:ascii="宋体" w:hAnsi="宋体"/>
          <w:szCs w:val="21"/>
        </w:rPr>
        <w:fldChar w:fldCharType="separate"/>
      </w:r>
      <w:r>
        <w:rPr>
          <w:rFonts w:hint="eastAsia" w:ascii="方正仿宋_GBK" w:hAnsi="方正仿宋_GBK" w:eastAsia="方正仿宋_GBK" w:cs="方正仿宋_GBK"/>
          <w:szCs w:val="24"/>
        </w:rPr>
        <w:t>三、技术部分</w:t>
      </w:r>
      <w:r>
        <w:tab/>
      </w:r>
      <w:r>
        <w:fldChar w:fldCharType="begin"/>
      </w:r>
      <w:r>
        <w:instrText xml:space="preserve"> PAGEREF _Toc23440 </w:instrText>
      </w:r>
      <w:r>
        <w:fldChar w:fldCharType="separate"/>
      </w:r>
      <w:r>
        <w:t>23</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_Toc14853 </w:instrText>
      </w:r>
      <w:r>
        <w:rPr>
          <w:rFonts w:hint="eastAsia" w:ascii="宋体" w:hAnsi="宋体"/>
          <w:szCs w:val="21"/>
        </w:rPr>
        <w:fldChar w:fldCharType="separate"/>
      </w:r>
      <w:r>
        <w:rPr>
          <w:rFonts w:hint="eastAsia" w:ascii="方正仿宋_GBK" w:hAnsi="方正仿宋_GBK" w:eastAsia="方正仿宋_GBK" w:cs="方正仿宋_GBK"/>
          <w:szCs w:val="24"/>
        </w:rPr>
        <w:t>四、商务部分</w:t>
      </w:r>
      <w:r>
        <w:tab/>
      </w:r>
      <w:r>
        <w:fldChar w:fldCharType="begin"/>
      </w:r>
      <w:r>
        <w:instrText xml:space="preserve"> PAGEREF _Toc14853 </w:instrText>
      </w:r>
      <w:r>
        <w:fldChar w:fldCharType="separate"/>
      </w:r>
      <w:r>
        <w:t>25</w:t>
      </w:r>
      <w:r>
        <w:fldChar w:fldCharType="end"/>
      </w:r>
      <w:r>
        <w:rPr>
          <w:rFonts w:hint="eastAsia" w:ascii="宋体" w:hAnsi="宋体"/>
          <w:color w:val="000000"/>
          <w:szCs w:val="21"/>
        </w:rPr>
        <w:fldChar w:fldCharType="end"/>
      </w:r>
    </w:p>
    <w:p>
      <w:pPr>
        <w:pStyle w:val="32"/>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_Toc10487 </w:instrText>
      </w:r>
      <w:r>
        <w:rPr>
          <w:rFonts w:hint="eastAsia" w:ascii="宋体" w:hAnsi="宋体"/>
          <w:szCs w:val="21"/>
        </w:rPr>
        <w:fldChar w:fldCharType="separate"/>
      </w:r>
      <w:r>
        <w:rPr>
          <w:rFonts w:hint="eastAsia" w:ascii="方正仿宋_GBK" w:hAnsi="方正仿宋_GBK" w:eastAsia="方正仿宋_GBK" w:cs="方正仿宋_GBK"/>
          <w:szCs w:val="24"/>
        </w:rPr>
        <w:t>五、资格条件及其他</w:t>
      </w:r>
      <w:r>
        <w:tab/>
      </w:r>
      <w:r>
        <w:fldChar w:fldCharType="begin"/>
      </w:r>
      <w:r>
        <w:instrText xml:space="preserve"> PAGEREF _Toc10487 </w:instrText>
      </w:r>
      <w:r>
        <w:fldChar w:fldCharType="separate"/>
      </w:r>
      <w:r>
        <w:t>29</w:t>
      </w:r>
      <w:r>
        <w:fldChar w:fldCharType="end"/>
      </w:r>
      <w:r>
        <w:rPr>
          <w:rFonts w:hint="eastAsia" w:ascii="宋体" w:hAnsi="宋体"/>
          <w:color w:val="000000"/>
          <w:szCs w:val="21"/>
        </w:rPr>
        <w:fldChar w:fldCharType="end"/>
      </w:r>
    </w:p>
    <w:p>
      <w:pPr>
        <w:pStyle w:val="50"/>
        <w:tabs>
          <w:tab w:val="right" w:leader="dot" w:pos="9000"/>
        </w:tabs>
        <w:ind w:left="462" w:leftChars="65" w:hanging="280" w:hangingChars="100"/>
        <w:rPr>
          <w:rFonts w:ascii="方正仿宋_GBK" w:hAnsi="Calibri" w:eastAsia="方正仿宋_GBK"/>
          <w:color w:val="000000"/>
          <w:sz w:val="21"/>
          <w:szCs w:val="21"/>
        </w:rPr>
        <w:sectPr>
          <w:footerReference r:id="rId12" w:type="first"/>
          <w:footerReference r:id="rId11" w:type="default"/>
          <w:pgSz w:w="11907" w:h="16840"/>
          <w:pgMar w:top="1134" w:right="1418" w:bottom="1134" w:left="1418" w:header="851" w:footer="992" w:gutter="0"/>
          <w:pgNumType w:fmt="decimal"/>
          <w:cols w:space="720" w:num="1"/>
          <w:titlePg/>
          <w:docGrid w:linePitch="381" w:charSpace="-5735"/>
        </w:sectPr>
      </w:pPr>
      <w:r>
        <w:rPr>
          <w:rFonts w:hint="eastAsia" w:ascii="宋体" w:hAnsi="宋体"/>
          <w:color w:val="000000"/>
          <w:szCs w:val="21"/>
        </w:rPr>
        <w:fldChar w:fldCharType="end"/>
      </w:r>
    </w:p>
    <w:p>
      <w:pPr>
        <w:pStyle w:val="5"/>
        <w:spacing w:line="360" w:lineRule="auto"/>
        <w:jc w:val="center"/>
        <w:rPr>
          <w:rFonts w:hint="eastAsia" w:ascii="方正仿宋_GBK" w:hAnsi="方正仿宋_GBK" w:eastAsia="方正仿宋_GBK" w:cs="方正仿宋_GBK"/>
          <w:b w:val="0"/>
          <w:kern w:val="2"/>
          <w:sz w:val="24"/>
          <w:szCs w:val="24"/>
          <w:lang w:val="en-US" w:eastAsia="zh-CN" w:bidi="ar-SA"/>
        </w:rPr>
      </w:pPr>
      <w:bookmarkStart w:id="3" w:name="_Toc11641050"/>
      <w:bookmarkStart w:id="4" w:name="_Toc12789052"/>
      <w:bookmarkStart w:id="5" w:name="_Toc25435"/>
      <w:r>
        <w:rPr>
          <w:rFonts w:hint="eastAsia" w:ascii="方正小标宋_GBK" w:hAnsi="方正小标宋_GBK" w:eastAsia="方正小标宋_GBK" w:cs="方正小标宋_GBK"/>
          <w:color w:val="000000"/>
          <w:sz w:val="36"/>
          <w:szCs w:val="36"/>
        </w:rPr>
        <w:t>第一篇  竞争性磋商邀请书</w:t>
      </w:r>
      <w:bookmarkEnd w:id="3"/>
      <w:bookmarkEnd w:id="4"/>
      <w:bookmarkEnd w:id="5"/>
    </w:p>
    <w:p>
      <w:pPr>
        <w:snapToGrid w:val="0"/>
        <w:spacing w:line="48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重庆市第四人民医院本着公平、公正、公开、诚信的原则，拟对医院进口设备外贸代理服务项目进行竞争性磋商。欢迎有资格和具有良好服务能力的供应商前来参加磋商。</w:t>
      </w:r>
    </w:p>
    <w:p>
      <w:pPr>
        <w:pStyle w:val="6"/>
        <w:spacing w:line="480" w:lineRule="exact"/>
        <w:rPr>
          <w:rFonts w:ascii="方正仿宋_GBK" w:hAnsi="方正仿宋_GBK" w:eastAsia="方正仿宋_GBK" w:cs="方正仿宋_GBK"/>
          <w:color w:val="000000"/>
          <w:sz w:val="24"/>
          <w:szCs w:val="24"/>
        </w:rPr>
      </w:pPr>
      <w:bookmarkStart w:id="6" w:name="_Toc313893526"/>
      <w:bookmarkStart w:id="7" w:name="_Toc317775175"/>
      <w:bookmarkStart w:id="8" w:name="_Toc6767"/>
      <w:r>
        <w:rPr>
          <w:rFonts w:hint="eastAsia" w:ascii="方正仿宋_GBK" w:hAnsi="方正仿宋_GBK" w:eastAsia="方正仿宋_GBK" w:cs="方正仿宋_GBK"/>
          <w:color w:val="000000"/>
          <w:sz w:val="24"/>
          <w:szCs w:val="24"/>
        </w:rPr>
        <w:t>一、竞争性磋商内容</w:t>
      </w:r>
      <w:bookmarkEnd w:id="6"/>
      <w:bookmarkEnd w:id="7"/>
      <w:bookmarkEnd w:id="8"/>
    </w:p>
    <w:tbl>
      <w:tblPr>
        <w:tblStyle w:val="67"/>
        <w:tblW w:w="92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1375"/>
        <w:gridCol w:w="15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208" w:type="dxa"/>
            <w:tcBorders>
              <w:top w:val="single" w:color="auto" w:sz="4" w:space="0"/>
              <w:left w:val="single" w:color="auto" w:sz="4" w:space="0"/>
              <w:right w:val="single" w:color="auto" w:sz="4" w:space="0"/>
            </w:tcBorders>
            <w:vAlign w:val="center"/>
          </w:tcPr>
          <w:p>
            <w:pPr>
              <w:spacing w:line="480" w:lineRule="exact"/>
              <w:ind w:firstLine="241" w:firstLineChars="100"/>
              <w:jc w:val="center"/>
              <w:rPr>
                <w:rFonts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采购内容</w:t>
            </w:r>
          </w:p>
        </w:tc>
        <w:tc>
          <w:tcPr>
            <w:tcW w:w="1375" w:type="dxa"/>
            <w:tcBorders>
              <w:top w:val="single" w:color="auto" w:sz="4" w:space="0"/>
              <w:left w:val="single" w:color="auto" w:sz="4" w:space="0"/>
              <w:right w:val="single" w:color="auto" w:sz="4" w:space="0"/>
            </w:tcBorders>
            <w:vAlign w:val="center"/>
          </w:tcPr>
          <w:p>
            <w:pPr>
              <w:widowControl/>
              <w:spacing w:line="480" w:lineRule="exact"/>
              <w:jc w:val="center"/>
              <w:rPr>
                <w:rFonts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lang w:val="en-US" w:eastAsia="zh-CN"/>
              </w:rPr>
              <w:t>代理费率</w:t>
            </w:r>
          </w:p>
        </w:tc>
        <w:tc>
          <w:tcPr>
            <w:tcW w:w="1560" w:type="dxa"/>
            <w:tcBorders>
              <w:top w:val="single" w:color="auto" w:sz="4" w:space="0"/>
              <w:left w:val="single" w:color="auto" w:sz="4" w:space="0"/>
              <w:right w:val="single" w:color="auto" w:sz="4" w:space="0"/>
            </w:tcBorders>
            <w:vAlign w:val="center"/>
          </w:tcPr>
          <w:p>
            <w:pPr>
              <w:widowControl/>
              <w:spacing w:line="480" w:lineRule="exact"/>
              <w:jc w:val="center"/>
              <w:rPr>
                <w:rFonts w:hint="eastAsia" w:ascii="方正仿宋_GBK" w:hAnsi="方正仿宋_GBK" w:eastAsia="方正仿宋_GBK" w:cs="方正仿宋_GBK"/>
                <w:b/>
                <w:color w:val="000000"/>
                <w:sz w:val="24"/>
                <w:szCs w:val="24"/>
                <w:lang w:eastAsia="zh-CN"/>
              </w:rPr>
            </w:pPr>
            <w:r>
              <w:rPr>
                <w:rFonts w:hint="eastAsia" w:ascii="方正仿宋_GBK" w:hAnsi="方正仿宋_GBK" w:eastAsia="方正仿宋_GBK" w:cs="方正仿宋_GBK"/>
                <w:b/>
                <w:color w:val="000000"/>
                <w:sz w:val="24"/>
                <w:szCs w:val="24"/>
                <w:lang w:val="en-US" w:eastAsia="zh-CN"/>
              </w:rPr>
              <w:t>服务期</w:t>
            </w:r>
          </w:p>
        </w:tc>
        <w:tc>
          <w:tcPr>
            <w:tcW w:w="2105" w:type="dxa"/>
            <w:tcBorders>
              <w:top w:val="single" w:color="auto" w:sz="4" w:space="0"/>
              <w:left w:val="single" w:color="auto" w:sz="4" w:space="0"/>
              <w:right w:val="single" w:color="auto" w:sz="4" w:space="0"/>
            </w:tcBorders>
            <w:vAlign w:val="center"/>
          </w:tcPr>
          <w:p>
            <w:pPr>
              <w:spacing w:line="480" w:lineRule="exact"/>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2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进口设备外贸代理服务</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≤1.5%</w:t>
            </w:r>
          </w:p>
        </w:tc>
        <w:tc>
          <w:tcPr>
            <w:tcW w:w="1560"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三年</w:t>
            </w:r>
          </w:p>
        </w:tc>
        <w:tc>
          <w:tcPr>
            <w:tcW w:w="2105"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1名</w:t>
            </w:r>
          </w:p>
        </w:tc>
      </w:tr>
    </w:tbl>
    <w:p>
      <w:pPr>
        <w:pStyle w:val="6"/>
        <w:spacing w:line="480" w:lineRule="exact"/>
        <w:rPr>
          <w:rFonts w:ascii="方正仿宋_GBK" w:hAnsi="方正仿宋_GBK" w:eastAsia="方正仿宋_GBK" w:cs="方正仿宋_GBK"/>
          <w:color w:val="000000"/>
          <w:sz w:val="24"/>
          <w:szCs w:val="24"/>
        </w:rPr>
      </w:pPr>
      <w:bookmarkStart w:id="9" w:name="_Toc19195"/>
      <w:bookmarkStart w:id="10" w:name="_Toc317775178"/>
      <w:bookmarkStart w:id="11" w:name="_Toc373860293"/>
      <w:r>
        <w:rPr>
          <w:rFonts w:hint="eastAsia" w:ascii="方正仿宋_GBK" w:hAnsi="方正仿宋_GBK" w:eastAsia="方正仿宋_GBK" w:cs="方正仿宋_GBK"/>
          <w:color w:val="000000"/>
          <w:sz w:val="24"/>
          <w:szCs w:val="24"/>
        </w:rPr>
        <w:t>二、资金来源</w:t>
      </w:r>
      <w:bookmarkEnd w:id="9"/>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pStyle w:val="6"/>
        <w:spacing w:line="480" w:lineRule="exact"/>
        <w:rPr>
          <w:rFonts w:ascii="方正仿宋_GBK" w:hAnsi="方正仿宋_GBK" w:eastAsia="方正仿宋_GBK" w:cs="方正仿宋_GBK"/>
          <w:color w:val="000000"/>
          <w:sz w:val="24"/>
          <w:szCs w:val="24"/>
        </w:rPr>
      </w:pPr>
      <w:bookmarkStart w:id="12" w:name="_Toc32558"/>
      <w:r>
        <w:rPr>
          <w:rFonts w:hint="eastAsia" w:ascii="方正仿宋_GBK" w:hAnsi="方正仿宋_GBK" w:eastAsia="方正仿宋_GBK" w:cs="方正仿宋_GBK"/>
          <w:color w:val="000000"/>
          <w:sz w:val="24"/>
          <w:szCs w:val="24"/>
        </w:rPr>
        <w:t>三、供应商的资格条件</w:t>
      </w:r>
      <w:bookmarkEnd w:id="12"/>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供应商是指向采购人提供货物、工程或者服务的法人。合格的供应商应符合政府采购法第二十二条规定的基本条件，同时符合根据该项目特点设置的特定资格条件。</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1．具有独立承担民事责任的能力；</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2．具有良好的商业信誉和健全的财务会计制度；</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3．具有履行合同所必需的设备和专业技术能力；</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4．有依法缴纳税收和社会保障资金的良好记录；</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5．参加政府采购活动前一年内，在经营活动中没有重大违法记录；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6．法律、行政法规规定的其他条件。</w:t>
      </w:r>
    </w:p>
    <w:p>
      <w:pPr>
        <w:pStyle w:val="69"/>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特定资格条件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 xml:space="preserve">1. </w:t>
      </w:r>
      <w:r>
        <w:rPr>
          <w:rFonts w:hint="eastAsia" w:ascii="方正仿宋_GBK" w:hAnsi="方正仿宋_GBK" w:eastAsia="方正仿宋_GBK" w:cs="方正仿宋_GBK"/>
          <w:color w:val="000000"/>
          <w:sz w:val="24"/>
          <w:szCs w:val="24"/>
        </w:rPr>
        <w:t>供应商若为外地企业，</w:t>
      </w:r>
      <w:r>
        <w:rPr>
          <w:rFonts w:hint="eastAsia" w:ascii="方正仿宋_GBK" w:hAnsi="方正仿宋_GBK" w:eastAsia="方正仿宋_GBK" w:cs="方正仿宋_GBK"/>
          <w:color w:val="000000"/>
          <w:sz w:val="24"/>
          <w:szCs w:val="24"/>
          <w:lang w:val="en-US" w:eastAsia="zh-CN"/>
        </w:rPr>
        <w:t>则</w:t>
      </w:r>
      <w:r>
        <w:rPr>
          <w:rFonts w:hint="eastAsia" w:ascii="方正仿宋_GBK" w:hAnsi="方正仿宋_GBK" w:eastAsia="方正仿宋_GBK" w:cs="方正仿宋_GBK"/>
          <w:color w:val="000000"/>
          <w:sz w:val="24"/>
          <w:szCs w:val="24"/>
        </w:rPr>
        <w:t>必须在重庆市主城区设有分公司</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提供分公司</w:t>
      </w:r>
      <w:r>
        <w:rPr>
          <w:rFonts w:hint="eastAsia" w:ascii="方正仿宋_GBK" w:hAnsi="方正仿宋_GBK" w:eastAsia="方正仿宋_GBK" w:cs="方正仿宋_GBK"/>
          <w:color w:val="000000"/>
          <w:sz w:val="24"/>
          <w:szCs w:val="24"/>
          <w:lang w:val="en-US" w:eastAsia="zh-CN"/>
        </w:rPr>
        <w:t>营业执照</w:t>
      </w:r>
      <w:r>
        <w:rPr>
          <w:rFonts w:hint="eastAsia" w:ascii="方正仿宋_GBK" w:hAnsi="方正仿宋_GBK" w:eastAsia="方正仿宋_GBK" w:cs="方正仿宋_GBK"/>
          <w:color w:val="000000"/>
          <w:sz w:val="24"/>
          <w:szCs w:val="24"/>
        </w:rPr>
        <w:t>复印件并加盖</w:t>
      </w:r>
      <w:r>
        <w:rPr>
          <w:rFonts w:hint="eastAsia" w:ascii="方正仿宋_GBK" w:hAnsi="方正仿宋_GBK" w:eastAsia="方正仿宋_GBK" w:cs="方正仿宋_GBK"/>
          <w:color w:val="000000"/>
          <w:sz w:val="24"/>
          <w:szCs w:val="24"/>
          <w:lang w:val="en-US" w:eastAsia="zh-CN"/>
        </w:rPr>
        <w:t>鲜章</w:t>
      </w:r>
      <w:r>
        <w:rPr>
          <w:rFonts w:hint="eastAsia" w:ascii="方正仿宋_GBK" w:hAnsi="方正仿宋_GBK" w:eastAsia="方正仿宋_GBK" w:cs="方正仿宋_GBK"/>
          <w:color w:val="000000"/>
          <w:sz w:val="24"/>
          <w:szCs w:val="24"/>
        </w:rPr>
        <w:t>（原件备查）、</w:t>
      </w:r>
      <w:r>
        <w:rPr>
          <w:rFonts w:hint="eastAsia" w:ascii="方正仿宋_GBK" w:hAnsi="方正仿宋_GBK" w:eastAsia="方正仿宋_GBK" w:cs="方正仿宋_GBK"/>
          <w:color w:val="000000"/>
          <w:sz w:val="24"/>
          <w:szCs w:val="24"/>
          <w:lang w:val="en-US" w:eastAsia="zh-CN"/>
        </w:rPr>
        <w:t>提供服务人员2021年在本单位缴纳社保证明材料复印件</w:t>
      </w:r>
      <w:r>
        <w:rPr>
          <w:rFonts w:hint="eastAsia" w:ascii="方正仿宋_GBK" w:hAnsi="方正仿宋_GBK" w:eastAsia="方正仿宋_GBK" w:cs="方正仿宋_GBK"/>
          <w:color w:val="000000"/>
          <w:sz w:val="24"/>
          <w:szCs w:val="24"/>
        </w:rPr>
        <w:t>并加盖</w:t>
      </w:r>
      <w:r>
        <w:rPr>
          <w:rFonts w:hint="eastAsia" w:ascii="方正仿宋_GBK" w:hAnsi="方正仿宋_GBK" w:eastAsia="方正仿宋_GBK" w:cs="方正仿宋_GBK"/>
          <w:color w:val="000000"/>
          <w:sz w:val="24"/>
          <w:szCs w:val="24"/>
          <w:lang w:val="en-US" w:eastAsia="zh-CN"/>
        </w:rPr>
        <w:t>鲜章</w:t>
      </w:r>
      <w:r>
        <w:rPr>
          <w:rFonts w:hint="eastAsia" w:ascii="方正仿宋_GBK" w:hAnsi="方正仿宋_GBK" w:eastAsia="方正仿宋_GBK" w:cs="方正仿宋_GBK"/>
          <w:color w:val="000000"/>
          <w:sz w:val="24"/>
          <w:szCs w:val="24"/>
        </w:rPr>
        <w:t>（原件备查）</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w:t>
      </w:r>
    </w:p>
    <w:p>
      <w:pPr>
        <w:pStyle w:val="5"/>
        <w:spacing w:before="120" w:after="120" w:line="240" w:lineRule="auto"/>
        <w:rPr>
          <w:rFonts w:ascii="方正仿宋_GBK" w:eastAsia="方正仿宋_GBK"/>
          <w:sz w:val="24"/>
          <w:szCs w:val="24"/>
        </w:rPr>
      </w:pPr>
      <w:bookmarkStart w:id="13" w:name="_Toc527828386"/>
      <w:bookmarkStart w:id="14" w:name="_Toc517368026"/>
      <w:bookmarkStart w:id="15" w:name="_Toc517367959"/>
      <w:bookmarkStart w:id="16" w:name="_Toc31615"/>
      <w:r>
        <w:rPr>
          <w:rFonts w:hint="eastAsia" w:ascii="方正仿宋_GBK" w:eastAsia="方正仿宋_GBK"/>
          <w:sz w:val="24"/>
          <w:szCs w:val="24"/>
        </w:rPr>
        <w:t>四、磋商的有关说明</w:t>
      </w:r>
      <w:bookmarkEnd w:id="13"/>
      <w:bookmarkEnd w:id="14"/>
      <w:bookmarkEnd w:id="15"/>
      <w:bookmarkEnd w:id="16"/>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（一）凡有意参与磋商的供应商，请在“行采家”平台（http://www.gec123.com）网上下载本项目采购要求等磋商前公布的所有项目资料，无论供应商下载与否，均视为已知晓所有磋商内容。</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（二）竞争性磋商</w:t>
      </w:r>
      <w:r>
        <w:rPr>
          <w:rFonts w:ascii="方正仿宋_GBK" w:hAnsi="宋体" w:eastAsia="方正仿宋_GBK"/>
          <w:sz w:val="24"/>
          <w:szCs w:val="24"/>
        </w:rPr>
        <w:t>文件公告期</w:t>
      </w:r>
      <w:r>
        <w:rPr>
          <w:rFonts w:hint="eastAsia" w:ascii="方正仿宋_GBK" w:hAnsi="宋体" w:eastAsia="方正仿宋_GBK"/>
          <w:sz w:val="24"/>
          <w:szCs w:val="24"/>
        </w:rPr>
        <w:t>限</w:t>
      </w:r>
      <w:r>
        <w:rPr>
          <w:rFonts w:ascii="方正仿宋_GBK" w:hAnsi="宋体" w:eastAsia="方正仿宋_GBK"/>
          <w:sz w:val="24"/>
          <w:szCs w:val="24"/>
        </w:rPr>
        <w:t>：自公告发布之日（</w:t>
      </w:r>
      <w:r>
        <w:rPr>
          <w:rFonts w:hint="eastAsia" w:ascii="方正仿宋_GBK" w:hAnsi="宋体" w:eastAsia="方正仿宋_GBK"/>
          <w:sz w:val="24"/>
          <w:szCs w:val="24"/>
          <w:lang w:val="en-US" w:eastAsia="zh-CN"/>
        </w:rPr>
        <w:t>2021</w:t>
      </w:r>
      <w:r>
        <w:rPr>
          <w:rFonts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10</w:t>
      </w:r>
      <w:r>
        <w:rPr>
          <w:rFonts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17</w:t>
      </w:r>
      <w:r>
        <w:rPr>
          <w:rFonts w:ascii="方正仿宋_GBK" w:hAnsi="宋体" w:eastAsia="方正仿宋_GBK"/>
          <w:color w:val="auto"/>
          <w:sz w:val="24"/>
          <w:szCs w:val="24"/>
        </w:rPr>
        <w:t>日</w:t>
      </w:r>
      <w:r>
        <w:rPr>
          <w:rFonts w:ascii="方正仿宋_GBK" w:hAnsi="宋体" w:eastAsia="方正仿宋_GBK"/>
          <w:sz w:val="24"/>
          <w:szCs w:val="24"/>
        </w:rPr>
        <w:t>）起</w:t>
      </w:r>
      <w:r>
        <w:rPr>
          <w:rFonts w:hint="eastAsia" w:ascii="方正仿宋_GBK" w:hAnsi="宋体" w:eastAsia="方正仿宋_GBK"/>
          <w:sz w:val="24"/>
          <w:szCs w:val="24"/>
        </w:rPr>
        <w:t>三</w:t>
      </w:r>
      <w:r>
        <w:rPr>
          <w:rFonts w:ascii="方正仿宋_GBK" w:hAnsi="宋体" w:eastAsia="方正仿宋_GBK"/>
          <w:sz w:val="24"/>
          <w:szCs w:val="24"/>
        </w:rPr>
        <w:t>个工作日</w:t>
      </w:r>
      <w:r>
        <w:rPr>
          <w:rFonts w:hint="eastAsia" w:ascii="方正仿宋_GBK" w:hAnsi="宋体" w:eastAsia="方正仿宋_GBK"/>
          <w:sz w:val="24"/>
          <w:szCs w:val="24"/>
        </w:rPr>
        <w:t>。</w:t>
      </w:r>
    </w:p>
    <w:p>
      <w:pPr>
        <w:spacing w:line="400" w:lineRule="exact"/>
        <w:ind w:firstLine="480" w:firstLineChars="200"/>
        <w:rPr>
          <w:rFonts w:ascii="方正仿宋_GBK" w:hAnsi="宋体" w:eastAsia="方正仿宋_GBK"/>
          <w:color w:val="C00000"/>
          <w:sz w:val="24"/>
          <w:szCs w:val="24"/>
        </w:rPr>
      </w:pPr>
      <w:r>
        <w:rPr>
          <w:rFonts w:hint="eastAsia" w:ascii="方正仿宋_GBK" w:hAnsi="宋体" w:eastAsia="方正仿宋_GBK"/>
          <w:sz w:val="24"/>
          <w:szCs w:val="24"/>
        </w:rPr>
        <w:t>（三）响应文件递交截止时间：</w:t>
      </w:r>
      <w:r>
        <w:rPr>
          <w:rFonts w:hint="eastAsia" w:ascii="方正仿宋_GBK" w:hAnsi="宋体" w:eastAsia="方正仿宋_GBK"/>
          <w:sz w:val="24"/>
          <w:szCs w:val="24"/>
          <w:lang w:val="en-US" w:eastAsia="zh-CN"/>
        </w:rPr>
        <w:t>2021</w:t>
      </w:r>
      <w:r>
        <w:rPr>
          <w:rFonts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10</w:t>
      </w:r>
      <w:r>
        <w:rPr>
          <w:rFonts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20</w:t>
      </w:r>
      <w:r>
        <w:rPr>
          <w:rFonts w:ascii="方正仿宋_GBK" w:hAnsi="宋体" w:eastAsia="方正仿宋_GBK"/>
          <w:color w:val="auto"/>
          <w:sz w:val="24"/>
          <w:szCs w:val="24"/>
        </w:rPr>
        <w:t>日</w:t>
      </w:r>
      <w:r>
        <w:rPr>
          <w:rFonts w:hint="eastAsia" w:ascii="方正仿宋_GBK" w:hAnsi="宋体" w:eastAsia="方正仿宋_GBK"/>
          <w:color w:val="auto"/>
          <w:sz w:val="24"/>
          <w:szCs w:val="24"/>
        </w:rPr>
        <w:t>下午</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点</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（四）响应文件递交地点：渝中区健康路1号（重庆市第四人民医院老大楼</w:t>
      </w:r>
      <w:r>
        <w:rPr>
          <w:rFonts w:hint="eastAsia" w:ascii="方正仿宋_GBK" w:hAnsi="宋体" w:eastAsia="方正仿宋_GBK"/>
          <w:sz w:val="24"/>
          <w:szCs w:val="24"/>
          <w:lang w:val="en-US" w:eastAsia="zh-CN"/>
        </w:rPr>
        <w:t>14-5</w:t>
      </w:r>
      <w:r>
        <w:rPr>
          <w:rFonts w:hint="eastAsia" w:ascii="方正仿宋_GBK" w:hAnsi="宋体" w:eastAsia="方正仿宋_GBK"/>
          <w:sz w:val="24"/>
          <w:szCs w:val="24"/>
        </w:rPr>
        <w:t>室）；</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w:t>
      </w:r>
      <w:r>
        <w:rPr>
          <w:rFonts w:hint="eastAsia" w:ascii="方正仿宋_GBK" w:hAnsi="宋体" w:eastAsia="方正仿宋_GBK"/>
          <w:color w:val="auto"/>
          <w:sz w:val="24"/>
          <w:szCs w:val="24"/>
          <w:lang w:val="en-US" w:eastAsia="zh-CN"/>
        </w:rPr>
        <w:t>二</w:t>
      </w:r>
      <w:r>
        <w:rPr>
          <w:rFonts w:hint="eastAsia" w:ascii="方正仿宋_GBK" w:hAnsi="宋体" w:eastAsia="方正仿宋_GBK"/>
          <w:color w:val="auto"/>
          <w:sz w:val="24"/>
          <w:szCs w:val="24"/>
        </w:rPr>
        <w:t>种</w:t>
      </w:r>
      <w:r>
        <w:rPr>
          <w:rFonts w:hint="eastAsia" w:ascii="方正仿宋_GBK" w:hAnsi="宋体" w:eastAsia="方正仿宋_GBK"/>
          <w:sz w:val="24"/>
          <w:szCs w:val="24"/>
        </w:rPr>
        <w:t>条件，其</w:t>
      </w:r>
      <w:r>
        <w:rPr>
          <w:rFonts w:hint="eastAsia" w:ascii="方正仿宋_GBK" w:hAnsi="宋体" w:eastAsia="方正仿宋_GBK"/>
          <w:sz w:val="24"/>
          <w:szCs w:val="24"/>
          <w:lang w:val="en-US" w:eastAsia="zh-CN"/>
        </w:rPr>
        <w:t>响应</w:t>
      </w:r>
      <w:r>
        <w:rPr>
          <w:rFonts w:hint="eastAsia" w:ascii="方正仿宋_GBK" w:hAnsi="宋体" w:eastAsia="方正仿宋_GBK"/>
          <w:sz w:val="24"/>
          <w:szCs w:val="24"/>
        </w:rPr>
        <w:t>才被接受：</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、按时报名签到</w:t>
      </w:r>
      <w:r>
        <w:rPr>
          <w:rFonts w:hint="eastAsia" w:ascii="方正仿宋_GBK" w:hAnsi="宋体" w:eastAsia="方正仿宋_GBK"/>
          <w:sz w:val="24"/>
          <w:szCs w:val="24"/>
          <w:lang w:eastAsia="zh-CN"/>
        </w:rPr>
        <w:t>。</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（六）磋商时间：另行通知</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（七）磋商地点： 重庆市第四人民医院</w:t>
      </w:r>
    </w:p>
    <w:p>
      <w:pPr>
        <w:pStyle w:val="5"/>
        <w:spacing w:before="120" w:after="120" w:line="240" w:lineRule="auto"/>
        <w:rPr>
          <w:rFonts w:ascii="方正仿宋_GBK" w:eastAsia="方正仿宋_GBK"/>
          <w:sz w:val="24"/>
          <w:szCs w:val="24"/>
        </w:rPr>
      </w:pPr>
      <w:bookmarkStart w:id="17" w:name="_Toc517368027"/>
      <w:bookmarkStart w:id="18" w:name="_Toc527828387"/>
      <w:bookmarkStart w:id="19" w:name="_Toc517367960"/>
      <w:bookmarkStart w:id="20" w:name="_Toc15490"/>
      <w:r>
        <w:rPr>
          <w:rFonts w:hint="eastAsia" w:ascii="方正仿宋_GBK" w:eastAsia="方正仿宋_GBK"/>
          <w:sz w:val="24"/>
          <w:szCs w:val="24"/>
        </w:rPr>
        <w:t>五、其它有关规定</w:t>
      </w:r>
      <w:bookmarkEnd w:id="17"/>
      <w:bookmarkEnd w:id="18"/>
      <w:bookmarkEnd w:id="19"/>
      <w:bookmarkEnd w:id="20"/>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单位负责人为同一人或者存在直接控股、管理关系的不同供应商，不得参加同一合同项下的政府采购活动。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为采购项目提供整体设计、规范编制或者项目管理、监理、检测等服务的供应商，不得再参加</w:t>
      </w:r>
      <w:r>
        <w:rPr>
          <w:rFonts w:hint="eastAsia" w:ascii="方正仿宋_GBK" w:hAnsi="宋体" w:eastAsia="方正仿宋_GBK"/>
          <w:sz w:val="24"/>
          <w:szCs w:val="24"/>
        </w:rPr>
        <w:t>本</w:t>
      </w:r>
      <w:r>
        <w:rPr>
          <w:rFonts w:ascii="方正仿宋_GBK" w:hAnsi="宋体" w:eastAsia="方正仿宋_GBK"/>
          <w:sz w:val="24"/>
          <w:szCs w:val="24"/>
        </w:rPr>
        <w:t>项目的采购活动。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3、同一项目的货物，制造商参与</w:t>
      </w:r>
      <w:r>
        <w:rPr>
          <w:rFonts w:hint="eastAsia" w:ascii="方正仿宋_GBK" w:hAnsi="宋体" w:eastAsia="方正仿宋_GBK"/>
          <w:sz w:val="24"/>
          <w:szCs w:val="24"/>
          <w:lang w:eastAsia="zh-CN"/>
        </w:rPr>
        <w:t>磋商</w:t>
      </w:r>
      <w:r>
        <w:rPr>
          <w:rFonts w:hint="eastAsia" w:ascii="方正仿宋_GBK" w:hAnsi="宋体" w:eastAsia="方正仿宋_GBK"/>
          <w:sz w:val="24"/>
          <w:szCs w:val="24"/>
        </w:rPr>
        <w:t>的，不得再委托代理商参与</w:t>
      </w:r>
      <w:r>
        <w:rPr>
          <w:rFonts w:hint="eastAsia" w:ascii="方正仿宋_GBK" w:hAnsi="宋体" w:eastAsia="方正仿宋_GBK"/>
          <w:sz w:val="24"/>
          <w:szCs w:val="24"/>
          <w:lang w:eastAsia="zh-CN"/>
        </w:rPr>
        <w:t>磋商</w:t>
      </w:r>
      <w:r>
        <w:rPr>
          <w:rFonts w:hint="eastAsia" w:ascii="方正仿宋_GBK" w:hAnsi="宋体" w:eastAsia="方正仿宋_GBK"/>
          <w:sz w:val="24"/>
          <w:szCs w:val="24"/>
        </w:rPr>
        <w:t>。</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4、本项目的补遗文件（如果有）一律在“行采家”平台（http://www.gec123.com）上发布，请各</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注意下载；无论</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下载与否，均视同供应商已知晓本项目补遗文件（如果有）的内容。</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5、超过递交截止时间递交的响应文件，恕不接收。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、本项目不接受联合体参与磋商。</w:t>
      </w:r>
    </w:p>
    <w:p>
      <w:pPr>
        <w:pStyle w:val="5"/>
        <w:spacing w:before="120" w:after="120" w:line="240" w:lineRule="auto"/>
        <w:rPr>
          <w:rFonts w:ascii="方正仿宋_GBK" w:eastAsia="方正仿宋_GBK"/>
          <w:sz w:val="24"/>
          <w:szCs w:val="24"/>
        </w:rPr>
      </w:pPr>
      <w:bookmarkStart w:id="21" w:name="_Toc527828388"/>
      <w:bookmarkStart w:id="22" w:name="_Toc517367961"/>
      <w:bookmarkStart w:id="23" w:name="_Toc517368028"/>
      <w:bookmarkStart w:id="24" w:name="_Toc5509"/>
      <w:r>
        <w:rPr>
          <w:rFonts w:hint="eastAsia" w:ascii="方正仿宋_GBK" w:eastAsia="方正仿宋_GBK"/>
          <w:sz w:val="24"/>
          <w:szCs w:val="24"/>
          <w:lang w:val="en-US" w:eastAsia="zh-CN"/>
        </w:rPr>
        <w:t>六</w:t>
      </w:r>
      <w:r>
        <w:rPr>
          <w:rFonts w:hint="eastAsia" w:ascii="方正仿宋_GBK" w:eastAsia="方正仿宋_GBK"/>
          <w:sz w:val="24"/>
          <w:szCs w:val="24"/>
        </w:rPr>
        <w:t>、联系方式</w:t>
      </w:r>
      <w:bookmarkEnd w:id="21"/>
      <w:bookmarkEnd w:id="22"/>
      <w:bookmarkEnd w:id="23"/>
      <w:bookmarkEnd w:id="24"/>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采购人：重庆市第四人民医院</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杨</w:t>
      </w:r>
      <w:r>
        <w:rPr>
          <w:rFonts w:hint="eastAsia" w:ascii="方正仿宋_GBK" w:hAnsi="宋体" w:eastAsia="方正仿宋_GBK"/>
          <w:sz w:val="24"/>
          <w:szCs w:val="24"/>
        </w:rPr>
        <w:t>老师</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话：（023）63692226</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  真：（023）</w:t>
      </w:r>
      <w:r>
        <w:rPr>
          <w:rFonts w:ascii="方正仿宋_GBK" w:hAnsi="宋体" w:eastAsia="方正仿宋_GBK"/>
          <w:sz w:val="24"/>
          <w:szCs w:val="24"/>
        </w:rPr>
        <w:t>63854632</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地  址：重庆市渝中区健康路1号</w:t>
      </w:r>
    </w:p>
    <w:p>
      <w:pPr>
        <w:snapToGrid w:val="0"/>
        <w:spacing w:line="400" w:lineRule="exact"/>
        <w:ind w:firstLine="480" w:firstLineChars="200"/>
        <w:rPr>
          <w:rFonts w:ascii="方正仿宋_GBK" w:hAnsi="方正仿宋_GBK" w:eastAsia="方正仿宋_GBK" w:cs="方正仿宋_GBK"/>
          <w:color w:val="000000"/>
          <w:sz w:val="24"/>
          <w:szCs w:val="24"/>
          <w:highlight w:val="yellow"/>
        </w:rPr>
      </w:pPr>
      <w:r>
        <w:rPr>
          <w:rFonts w:hint="eastAsia" w:ascii="方正仿宋_GBK" w:hAnsi="宋体" w:eastAsia="方正仿宋_GBK"/>
          <w:sz w:val="24"/>
          <w:szCs w:val="24"/>
        </w:rPr>
        <w:br w:type="page"/>
      </w:r>
    </w:p>
    <w:bookmarkEnd w:id="10"/>
    <w:bookmarkEnd w:id="11"/>
    <w:p>
      <w:pPr>
        <w:pStyle w:val="5"/>
        <w:keepNext/>
        <w:keepLines/>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center"/>
        <w:textAlignment w:val="auto"/>
        <w:outlineLvl w:val="1"/>
        <w:rPr>
          <w:rFonts w:ascii="方正小标宋_GBK" w:hAnsi="方正小标宋_GBK" w:eastAsia="方正小标宋_GBK" w:cs="方正小标宋_GBK"/>
          <w:color w:val="000000"/>
          <w:sz w:val="36"/>
          <w:szCs w:val="36"/>
        </w:rPr>
      </w:pPr>
      <w:bookmarkStart w:id="25" w:name="_Toc102227313"/>
      <w:bookmarkStart w:id="26" w:name="_Toc15498"/>
      <w:r>
        <w:rPr>
          <w:rFonts w:hint="eastAsia" w:ascii="方正小标宋_GBK" w:hAnsi="方正小标宋_GBK" w:eastAsia="方正小标宋_GBK" w:cs="方正小标宋_GBK"/>
          <w:color w:val="000000"/>
          <w:sz w:val="36"/>
          <w:szCs w:val="36"/>
        </w:rPr>
        <w:t xml:space="preserve">第二篇  </w:t>
      </w:r>
      <w:bookmarkEnd w:id="25"/>
      <w:r>
        <w:rPr>
          <w:rFonts w:hint="eastAsia" w:ascii="方正小标宋_GBK" w:hAnsi="方正小标宋_GBK" w:eastAsia="方正小标宋_GBK" w:cs="方正小标宋_GBK"/>
          <w:color w:val="000000"/>
          <w:sz w:val="36"/>
          <w:szCs w:val="36"/>
        </w:rPr>
        <w:t>项目</w:t>
      </w:r>
      <w:r>
        <w:rPr>
          <w:rFonts w:hint="eastAsia" w:ascii="方正小标宋_GBK" w:hAnsi="方正小标宋_GBK" w:eastAsia="方正小标宋_GBK" w:cs="方正小标宋_GBK"/>
          <w:color w:val="000000"/>
          <w:sz w:val="36"/>
          <w:szCs w:val="36"/>
          <w:lang w:val="en-US" w:eastAsia="zh-CN"/>
        </w:rPr>
        <w:t>服务</w:t>
      </w:r>
      <w:r>
        <w:rPr>
          <w:rFonts w:hint="eastAsia" w:ascii="方正小标宋_GBK" w:hAnsi="方正小标宋_GBK" w:eastAsia="方正小标宋_GBK" w:cs="方正小标宋_GBK"/>
          <w:color w:val="000000"/>
          <w:sz w:val="36"/>
          <w:szCs w:val="36"/>
        </w:rPr>
        <w:t>需求</w:t>
      </w:r>
      <w:bookmarkEnd w:id="26"/>
    </w:p>
    <w:p>
      <w:pPr>
        <w:pStyle w:val="6"/>
        <w:spacing w:line="480" w:lineRule="exact"/>
        <w:rPr>
          <w:rFonts w:ascii="方正仿宋_GBK" w:hAnsi="方正仿宋_GBK" w:eastAsia="方正仿宋_GBK" w:cs="方正仿宋_GBK"/>
          <w:color w:val="000000"/>
          <w:sz w:val="24"/>
          <w:szCs w:val="24"/>
        </w:rPr>
      </w:pPr>
      <w:bookmarkStart w:id="27" w:name="_Toc24261"/>
      <w:r>
        <w:rPr>
          <w:rFonts w:hint="eastAsia" w:ascii="方正仿宋_GBK" w:hAnsi="方正仿宋_GBK" w:eastAsia="方正仿宋_GBK" w:cs="方正仿宋_GBK"/>
          <w:color w:val="000000"/>
          <w:sz w:val="24"/>
          <w:szCs w:val="24"/>
        </w:rPr>
        <w:t>一、项目</w:t>
      </w:r>
      <w:r>
        <w:rPr>
          <w:rFonts w:hint="eastAsia" w:ascii="方正仿宋_GBK" w:hAnsi="方正仿宋_GBK" w:eastAsia="方正仿宋_GBK" w:cs="方正仿宋_GBK"/>
          <w:color w:val="000000"/>
          <w:sz w:val="24"/>
          <w:szCs w:val="24"/>
          <w:lang w:val="en-US" w:eastAsia="zh-CN"/>
        </w:rPr>
        <w:t>内容</w:t>
      </w:r>
      <w:bookmarkEnd w:id="27"/>
    </w:p>
    <w:tbl>
      <w:tblPr>
        <w:tblStyle w:val="67"/>
        <w:tblW w:w="92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1375"/>
        <w:gridCol w:w="15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208" w:type="dxa"/>
            <w:tcBorders>
              <w:top w:val="single" w:color="auto" w:sz="4" w:space="0"/>
              <w:left w:val="single" w:color="auto" w:sz="4" w:space="0"/>
              <w:right w:val="single" w:color="auto" w:sz="4" w:space="0"/>
            </w:tcBorders>
            <w:vAlign w:val="center"/>
          </w:tcPr>
          <w:p>
            <w:pPr>
              <w:spacing w:line="480" w:lineRule="exact"/>
              <w:ind w:firstLine="241" w:firstLineChars="100"/>
              <w:jc w:val="center"/>
              <w:rPr>
                <w:rFonts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采购内容</w:t>
            </w:r>
          </w:p>
        </w:tc>
        <w:tc>
          <w:tcPr>
            <w:tcW w:w="1375" w:type="dxa"/>
            <w:tcBorders>
              <w:top w:val="single" w:color="auto" w:sz="4" w:space="0"/>
              <w:left w:val="single" w:color="auto" w:sz="4" w:space="0"/>
              <w:right w:val="single" w:color="auto" w:sz="4" w:space="0"/>
            </w:tcBorders>
            <w:vAlign w:val="center"/>
          </w:tcPr>
          <w:p>
            <w:pPr>
              <w:widowControl/>
              <w:spacing w:line="480" w:lineRule="exact"/>
              <w:jc w:val="center"/>
              <w:rPr>
                <w:rFonts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lang w:val="en-US" w:eastAsia="zh-CN"/>
              </w:rPr>
              <w:t>代理费率</w:t>
            </w:r>
          </w:p>
        </w:tc>
        <w:tc>
          <w:tcPr>
            <w:tcW w:w="1560" w:type="dxa"/>
            <w:tcBorders>
              <w:top w:val="single" w:color="auto" w:sz="4" w:space="0"/>
              <w:left w:val="single" w:color="auto" w:sz="4" w:space="0"/>
              <w:right w:val="single" w:color="auto" w:sz="4" w:space="0"/>
            </w:tcBorders>
            <w:vAlign w:val="center"/>
          </w:tcPr>
          <w:p>
            <w:pPr>
              <w:widowControl/>
              <w:spacing w:line="480" w:lineRule="exact"/>
              <w:jc w:val="center"/>
              <w:rPr>
                <w:rFonts w:hint="eastAsia" w:ascii="方正仿宋_GBK" w:hAnsi="方正仿宋_GBK" w:eastAsia="方正仿宋_GBK" w:cs="方正仿宋_GBK"/>
                <w:b/>
                <w:color w:val="000000"/>
                <w:sz w:val="24"/>
                <w:szCs w:val="24"/>
                <w:lang w:eastAsia="zh-CN"/>
              </w:rPr>
            </w:pPr>
            <w:r>
              <w:rPr>
                <w:rFonts w:hint="eastAsia" w:ascii="方正仿宋_GBK" w:hAnsi="方正仿宋_GBK" w:eastAsia="方正仿宋_GBK" w:cs="方正仿宋_GBK"/>
                <w:b/>
                <w:color w:val="000000"/>
                <w:sz w:val="24"/>
                <w:szCs w:val="24"/>
                <w:lang w:val="en-US" w:eastAsia="zh-CN"/>
              </w:rPr>
              <w:t>服务期</w:t>
            </w:r>
          </w:p>
        </w:tc>
        <w:tc>
          <w:tcPr>
            <w:tcW w:w="2105" w:type="dxa"/>
            <w:tcBorders>
              <w:top w:val="single" w:color="auto" w:sz="4" w:space="0"/>
              <w:left w:val="single" w:color="auto" w:sz="4" w:space="0"/>
              <w:right w:val="single" w:color="auto" w:sz="4" w:space="0"/>
            </w:tcBorders>
            <w:vAlign w:val="center"/>
          </w:tcPr>
          <w:p>
            <w:pPr>
              <w:spacing w:line="480" w:lineRule="exact"/>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2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进口设备外贸代理服务</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≤1.5%</w:t>
            </w:r>
          </w:p>
        </w:tc>
        <w:tc>
          <w:tcPr>
            <w:tcW w:w="1560"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三年</w:t>
            </w:r>
          </w:p>
        </w:tc>
        <w:tc>
          <w:tcPr>
            <w:tcW w:w="2105"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color w:val="000000"/>
          <w:kern w:val="2"/>
          <w:sz w:val="24"/>
          <w:szCs w:val="24"/>
          <w:lang w:val="en-US" w:eastAsia="zh-CN" w:bidi="ar-SA"/>
        </w:rPr>
      </w:pPr>
      <w:r>
        <w:rPr>
          <w:rFonts w:hint="eastAsia" w:ascii="方正仿宋_GBK" w:hAnsi="方正仿宋_GBK" w:eastAsia="方正仿宋_GBK" w:cs="方正仿宋_GBK"/>
          <w:b/>
          <w:color w:val="000000"/>
          <w:kern w:val="2"/>
          <w:sz w:val="24"/>
          <w:szCs w:val="24"/>
          <w:lang w:val="en-US" w:eastAsia="zh-CN" w:bidi="ar-SA"/>
        </w:rPr>
        <w:t>二、服务内容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在采购人授权范围内，负责与外商审定商务条款，同时代表采购人以乙方的名义与外商签订外贸合同。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在合同规定的到货期前，负责代为办理进口批件及对外合同的送审、报批、备案手续。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在外贸合同执行期间，及时向采购人通报合同执行中的变化、如发货时间，运输安排等信息。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收到采购人合同付款后，按外贸合同要求及时履行对外付款义务。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负责法定检验产品的报检工作。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负责进口货物一旦发生货物迟交、灭失、损毁、质量或数量与合同不符时，根据合同条款向有关责任人进行索赔、向有关部门提供证据和其他相关的配合工作。</w:t>
      </w:r>
    </w:p>
    <w:p>
      <w:pPr>
        <w:pStyle w:val="19"/>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到货后，尽快开具正式的发票，并向采购人提供结算的明细结算清单及单据（包括代理费、银行费、报关费、运杂费等所有费用的正本或副本、原件或复印件）。</w:t>
      </w:r>
    </w:p>
    <w:p>
      <w:pPr>
        <w:pStyle w:val="19"/>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2"/>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8. </w:t>
      </w:r>
      <w:r>
        <w:rPr>
          <w:rFonts w:hint="eastAsia" w:ascii="方正仿宋_GBK" w:hAnsi="方正仿宋_GBK" w:eastAsia="方正仿宋_GBK" w:cs="方正仿宋_GBK"/>
          <w:szCs w:val="24"/>
          <w:lang w:val="en-US" w:eastAsia="zh-CN"/>
        </w:rPr>
        <w:t>成交</w:t>
      </w:r>
      <w:r>
        <w:rPr>
          <w:rFonts w:hint="eastAsia" w:ascii="方正仿宋_GBK" w:hAnsi="方正仿宋_GBK" w:eastAsia="方正仿宋_GBK" w:cs="方正仿宋_GBK"/>
          <w:szCs w:val="24"/>
        </w:rPr>
        <w:t>代理服务商应当合理安排专职专业人员，保障本项目高质量、高效率，顺利完成。</w:t>
      </w:r>
    </w:p>
    <w:p>
      <w:pPr>
        <w:pStyle w:val="19"/>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方正仿宋_GBK" w:hAnsi="方正仿宋_GBK" w:eastAsia="方正仿宋_GBK" w:cs="方正仿宋_GBK"/>
          <w:lang w:val="en-US" w:eastAsia="zh-CN"/>
        </w:rPr>
      </w:pPr>
    </w:p>
    <w:p>
      <w:pPr>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lang w:val="en-US" w:eastAsia="zh-CN"/>
        </w:rPr>
      </w:pPr>
    </w:p>
    <w:p>
      <w:pPr>
        <w:numPr>
          <w:ilvl w:val="0"/>
          <w:numId w:val="13"/>
        </w:numPr>
        <w:spacing w:line="480" w:lineRule="exact"/>
        <w:rPr>
          <w:color w:val="FF0000"/>
          <w:sz w:val="21"/>
          <w:szCs w:val="21"/>
        </w:rPr>
      </w:pPr>
      <w:r>
        <w:rPr>
          <w:rFonts w:hint="eastAsia" w:ascii="方正仿宋_GBK" w:hAnsi="方正仿宋_GBK" w:eastAsia="方正仿宋_GBK" w:cs="方正仿宋_GBK"/>
          <w:color w:val="FF0000"/>
          <w:sz w:val="24"/>
          <w:szCs w:val="24"/>
        </w:rPr>
        <w:br w:type="page"/>
      </w:r>
    </w:p>
    <w:p>
      <w:pPr>
        <w:pStyle w:val="5"/>
        <w:keepNext/>
        <w:keepLines/>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ascii="方正小标宋_GBK" w:hAnsi="方正小标宋_GBK" w:eastAsia="方正小标宋_GBK" w:cs="方正小标宋_GBK"/>
          <w:color w:val="000000"/>
          <w:sz w:val="36"/>
          <w:szCs w:val="36"/>
        </w:rPr>
      </w:pPr>
      <w:bookmarkStart w:id="28" w:name="_Toc12789058"/>
      <w:bookmarkStart w:id="29" w:name="_Toc27109"/>
      <w:r>
        <w:rPr>
          <w:rFonts w:hint="eastAsia" w:ascii="方正小标宋_GBK" w:hAnsi="方正小标宋_GBK" w:eastAsia="方正小标宋_GBK" w:cs="方正小标宋_GBK"/>
          <w:color w:val="000000"/>
          <w:sz w:val="36"/>
          <w:szCs w:val="36"/>
        </w:rPr>
        <w:t>第三篇  采购商务需求</w:t>
      </w:r>
      <w:bookmarkEnd w:id="28"/>
      <w:bookmarkEnd w:id="29"/>
    </w:p>
    <w:p>
      <w:pPr>
        <w:pStyle w:val="6"/>
        <w:adjustRightInd w:val="0"/>
        <w:spacing w:line="480" w:lineRule="exact"/>
        <w:rPr>
          <w:rFonts w:ascii="方正仿宋_GBK" w:hAnsi="方正仿宋_GBK" w:eastAsia="方正仿宋_GBK" w:cs="方正仿宋_GBK"/>
          <w:color w:val="000000"/>
          <w:sz w:val="24"/>
          <w:szCs w:val="24"/>
        </w:rPr>
      </w:pPr>
      <w:bookmarkStart w:id="30" w:name="_Toc344475120"/>
      <w:bookmarkStart w:id="31" w:name="_Toc3071"/>
      <w:bookmarkStart w:id="32" w:name="_Toc11641055"/>
      <w:bookmarkStart w:id="33" w:name="_Toc12789059"/>
      <w:r>
        <w:rPr>
          <w:rFonts w:hint="eastAsia" w:ascii="方正仿宋_GBK" w:hAnsi="方正仿宋_GBK" w:eastAsia="方正仿宋_GBK" w:cs="方正仿宋_GBK"/>
          <w:color w:val="000000"/>
          <w:sz w:val="24"/>
          <w:szCs w:val="24"/>
        </w:rPr>
        <w:t>一、</w:t>
      </w:r>
      <w:bookmarkEnd w:id="30"/>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时间、地点</w:t>
      </w:r>
      <w:bookmarkEnd w:id="31"/>
      <w:bookmarkStart w:id="34" w:name="_Toc338150114"/>
    </w:p>
    <w:bookmarkEnd w:id="34"/>
    <w:p>
      <w:pPr>
        <w:adjustRightInd w:val="0"/>
        <w:snapToGrid w:val="0"/>
        <w:spacing w:line="500" w:lineRule="exact"/>
        <w:rPr>
          <w:rFonts w:hint="eastAsia" w:ascii="方正仿宋_GBK" w:hAnsi="方正仿宋_GBK" w:eastAsia="方正仿宋_GBK" w:cs="方正仿宋_GBK"/>
          <w:color w:val="000000"/>
          <w:sz w:val="24"/>
          <w:szCs w:val="24"/>
          <w:lang w:val="en-US" w:eastAsia="zh-CN"/>
        </w:rPr>
      </w:pPr>
      <w:bookmarkStart w:id="35" w:name="_Toc390256790"/>
      <w:bookmarkStart w:id="36" w:name="_Toc384996893"/>
      <w:bookmarkStart w:id="37" w:name="_Toc375234882"/>
      <w:bookmarkStart w:id="38" w:name="_Toc37523504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服务期</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eastAsia="仿宋_GB2312"/>
          <w:lang w:val="en-US" w:eastAsia="zh-CN"/>
        </w:rPr>
      </w:pPr>
      <w:r>
        <w:rPr>
          <w:rFonts w:hint="eastAsia"/>
          <w:lang w:val="en-US" w:eastAsia="zh-CN"/>
        </w:rPr>
        <w:t>三年</w:t>
      </w:r>
    </w:p>
    <w:p>
      <w:pPr>
        <w:adjustRightInd w:val="0"/>
        <w:snapToGrid w:val="0"/>
        <w:spacing w:line="500" w:lineRule="exac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地点</w:t>
      </w:r>
    </w:p>
    <w:p>
      <w:pPr>
        <w:adjustRightInd w:val="0"/>
        <w:snapToGrid w:val="0"/>
        <w:spacing w:line="440" w:lineRule="exact"/>
        <w:ind w:firstLine="480" w:firstLineChars="200"/>
        <w:rPr>
          <w:color w:val="auto"/>
        </w:rPr>
      </w:pPr>
      <w:r>
        <w:rPr>
          <w:rFonts w:hint="eastAsia" w:ascii="方正仿宋_GBK" w:hAnsi="方正仿宋_GBK" w:eastAsia="方正仿宋_GBK" w:cs="方正仿宋_GBK"/>
          <w:color w:val="auto"/>
          <w:sz w:val="24"/>
          <w:szCs w:val="24"/>
        </w:rPr>
        <w:t>重庆市渝中区健康路1号（重庆市第四人民医院）, 采购人指定地点。</w:t>
      </w:r>
    </w:p>
    <w:bookmarkEnd w:id="35"/>
    <w:bookmarkEnd w:id="36"/>
    <w:p>
      <w:pPr>
        <w:pStyle w:val="6"/>
        <w:pageBreakBefore w:val="0"/>
        <w:widowControl w:val="0"/>
        <w:kinsoku/>
        <w:wordWrap/>
        <w:overflowPunct/>
        <w:topLinePunct w:val="0"/>
        <w:autoSpaceDE/>
        <w:autoSpaceDN/>
        <w:bidi w:val="0"/>
        <w:adjustRightInd w:val="0"/>
        <w:spacing w:line="480" w:lineRule="exact"/>
        <w:ind w:left="0" w:leftChars="0" w:right="0" w:rightChars="0"/>
        <w:jc w:val="both"/>
        <w:textAlignment w:val="auto"/>
        <w:rPr>
          <w:rFonts w:ascii="方正仿宋_GBK" w:hAnsi="方正仿宋_GBK" w:eastAsia="方正仿宋_GBK" w:cs="方正仿宋_GBK"/>
          <w:color w:val="000000"/>
          <w:sz w:val="24"/>
          <w:szCs w:val="24"/>
        </w:rPr>
      </w:pPr>
      <w:bookmarkStart w:id="39" w:name="_Toc522378522"/>
      <w:bookmarkStart w:id="40" w:name="_Toc20592"/>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w:t>
      </w:r>
      <w:bookmarkEnd w:id="39"/>
      <w:r>
        <w:rPr>
          <w:rFonts w:hint="eastAsia" w:ascii="方正仿宋_GBK" w:hAnsi="方正仿宋_GBK" w:eastAsia="方正仿宋_GBK" w:cs="方正仿宋_GBK"/>
          <w:color w:val="000000"/>
          <w:sz w:val="24"/>
          <w:szCs w:val="24"/>
        </w:rPr>
        <w:t>报价要求</w:t>
      </w:r>
      <w:bookmarkEnd w:id="40"/>
    </w:p>
    <w:p>
      <w:pPr>
        <w:pStyle w:val="19"/>
        <w:keepNext w:val="0"/>
        <w:keepLines w:val="0"/>
        <w:pageBreakBefore w:val="0"/>
        <w:widowControl w:val="0"/>
        <w:kinsoku/>
        <w:wordWrap/>
        <w:overflowPunct/>
        <w:topLinePunct w:val="0"/>
        <w:autoSpaceDE/>
        <w:autoSpaceDN/>
        <w:bidi w:val="0"/>
        <w:adjustRightInd w:val="0"/>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本次代理费只报费率，所报费率仅包含外贸代理商的服务费（费率按照进口货物CIP价格计算），进口环节其它费用（包括银行费、报关费、卫检费、动、植物检验检疫费、商检费、仓储费、运杂费及海关税费等其他费用）不在报价中，按实际发生额结算。</w:t>
      </w:r>
    </w:p>
    <w:p>
      <w:pPr>
        <w:pStyle w:val="6"/>
        <w:adjustRightInd w:val="0"/>
        <w:spacing w:line="480" w:lineRule="exact"/>
        <w:rPr>
          <w:rFonts w:hint="eastAsia" w:ascii="方正仿宋_GBK" w:hAnsi="方正仿宋_GBK" w:eastAsia="方正仿宋_GBK" w:cs="方正仿宋_GBK"/>
          <w:color w:val="000000"/>
          <w:sz w:val="24"/>
          <w:szCs w:val="24"/>
          <w:lang w:val="en-US" w:eastAsia="zh-CN"/>
        </w:rPr>
      </w:pPr>
      <w:bookmarkStart w:id="41" w:name="_Toc25429"/>
      <w:bookmarkStart w:id="42" w:name="_Toc267320051"/>
      <w:bookmarkStart w:id="43" w:name="_Toc522378524"/>
      <w:r>
        <w:rPr>
          <w:rFonts w:hint="eastAsia" w:ascii="方正仿宋_GBK" w:hAnsi="方正仿宋_GBK" w:eastAsia="方正仿宋_GBK" w:cs="方正仿宋_GBK"/>
          <w:color w:val="000000"/>
          <w:sz w:val="24"/>
          <w:szCs w:val="24"/>
          <w:lang w:val="en-US" w:eastAsia="zh-CN"/>
        </w:rPr>
        <w:t>三、结算方式</w:t>
      </w:r>
      <w:bookmarkEnd w:id="41"/>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费率按照中标合同金额价格计算。</w:t>
      </w:r>
    </w:p>
    <w:p>
      <w:pPr>
        <w:pStyle w:val="6"/>
        <w:adjustRightInd w:val="0"/>
        <w:spacing w:line="480" w:lineRule="exact"/>
        <w:rPr>
          <w:rFonts w:ascii="方正仿宋_GBK" w:hAnsi="方正仿宋_GBK" w:eastAsia="方正仿宋_GBK" w:cs="方正仿宋_GBK"/>
          <w:color w:val="000000"/>
          <w:sz w:val="24"/>
          <w:szCs w:val="24"/>
        </w:rPr>
      </w:pPr>
      <w:bookmarkStart w:id="44" w:name="_Toc10414"/>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、付款方式</w:t>
      </w:r>
      <w:bookmarkEnd w:id="42"/>
      <w:bookmarkEnd w:id="43"/>
      <w:bookmarkEnd w:id="44"/>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ascii="方正仿宋_GBK" w:hAnsi="方正仿宋_GBK" w:eastAsia="方正仿宋_GBK" w:cs="方正仿宋_GBK"/>
          <w:color w:val="FF0000"/>
          <w:kern w:val="0"/>
          <w:sz w:val="24"/>
          <w:szCs w:val="24"/>
        </w:rPr>
      </w:pPr>
      <w:bookmarkStart w:id="45" w:name="_Toc267320052"/>
      <w:bookmarkStart w:id="46" w:name="_Toc522378525"/>
      <w:r>
        <w:rPr>
          <w:rFonts w:hint="eastAsia" w:ascii="方正仿宋_GBK" w:hAnsi="方正仿宋_GBK" w:eastAsia="方正仿宋_GBK" w:cs="方正仿宋_GBK"/>
          <w:sz w:val="24"/>
          <w:szCs w:val="24"/>
        </w:rPr>
        <w:t>设备到货，</w:t>
      </w:r>
      <w:r>
        <w:rPr>
          <w:rFonts w:hint="eastAsia" w:ascii="方正仿宋_GBK" w:hAnsi="方正仿宋_GBK" w:eastAsia="方正仿宋_GBK" w:cs="方正仿宋_GBK"/>
          <w:sz w:val="24"/>
          <w:szCs w:val="24"/>
          <w:lang w:val="en-US" w:eastAsia="zh-CN"/>
        </w:rPr>
        <w:t>经采购人验收合格后，</w:t>
      </w:r>
      <w:r>
        <w:rPr>
          <w:rFonts w:hint="eastAsia" w:ascii="方正仿宋_GBK" w:hAnsi="方正仿宋_GBK" w:eastAsia="方正仿宋_GBK" w:cs="方正仿宋_GBK"/>
          <w:sz w:val="24"/>
          <w:szCs w:val="24"/>
        </w:rPr>
        <w:t>支付</w:t>
      </w:r>
      <w:r>
        <w:rPr>
          <w:rFonts w:hint="eastAsia" w:ascii="方正仿宋_GBK" w:hAnsi="方正仿宋_GBK" w:eastAsia="方正仿宋_GBK" w:cs="方正仿宋_GBK"/>
          <w:sz w:val="24"/>
          <w:szCs w:val="24"/>
          <w:lang w:val="en-US" w:eastAsia="zh-CN"/>
        </w:rPr>
        <w:t>全额</w:t>
      </w:r>
      <w:r>
        <w:rPr>
          <w:rFonts w:hint="eastAsia" w:ascii="方正仿宋_GBK" w:hAnsi="方正仿宋_GBK" w:eastAsia="方正仿宋_GBK" w:cs="方正仿宋_GBK"/>
          <w:sz w:val="24"/>
          <w:szCs w:val="24"/>
        </w:rPr>
        <w:t>外贸代理服务费。</w:t>
      </w:r>
    </w:p>
    <w:p>
      <w:pPr>
        <w:pStyle w:val="6"/>
        <w:adjustRightInd w:val="0"/>
        <w:spacing w:line="480" w:lineRule="exact"/>
        <w:rPr>
          <w:rFonts w:ascii="方正仿宋_GBK" w:hAnsi="方正仿宋_GBK" w:eastAsia="方正仿宋_GBK" w:cs="方正仿宋_GBK"/>
          <w:color w:val="000000"/>
          <w:sz w:val="24"/>
          <w:szCs w:val="24"/>
        </w:rPr>
      </w:pPr>
      <w:bookmarkStart w:id="47" w:name="_Toc17018"/>
      <w:r>
        <w:rPr>
          <w:rFonts w:hint="eastAsia" w:ascii="方正仿宋_GBK" w:hAnsi="方正仿宋_GBK" w:eastAsia="方正仿宋_GBK" w:cs="方正仿宋_GBK"/>
          <w:color w:val="000000"/>
          <w:sz w:val="24"/>
          <w:szCs w:val="24"/>
        </w:rPr>
        <w:t>五、知识产权</w:t>
      </w:r>
      <w:bookmarkEnd w:id="45"/>
      <w:bookmarkEnd w:id="46"/>
      <w:bookmarkEnd w:id="47"/>
    </w:p>
    <w:p>
      <w:pPr>
        <w:adjustRightInd w:val="0"/>
        <w:snapToGrid w:val="0"/>
        <w:spacing w:line="48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采购人在中华人民共和国境内使用供应商提供的货物及服务时免受第三方提出的侵犯其专利权或其它知识产权的起诉。如果第三方提出侵权指控，</w:t>
      </w:r>
      <w:r>
        <w:rPr>
          <w:rFonts w:hint="eastAsia" w:ascii="方正仿宋_GBK" w:hAnsi="方正仿宋_GBK" w:eastAsia="方正仿宋_GBK" w:cs="方正仿宋_GBK"/>
          <w:kern w:val="0"/>
          <w:sz w:val="24"/>
          <w:szCs w:val="24"/>
          <w:lang w:eastAsia="zh-CN"/>
        </w:rPr>
        <w:t>成交供应商</w:t>
      </w:r>
      <w:r>
        <w:rPr>
          <w:rFonts w:hint="eastAsia" w:ascii="方正仿宋_GBK" w:hAnsi="方正仿宋_GBK" w:eastAsia="方正仿宋_GBK" w:cs="方正仿宋_GBK"/>
          <w:kern w:val="0"/>
          <w:sz w:val="24"/>
          <w:szCs w:val="24"/>
        </w:rPr>
        <w:t>应承担由此而引起的一切法律责任和费用。</w:t>
      </w:r>
    </w:p>
    <w:p>
      <w:pPr>
        <w:pStyle w:val="6"/>
        <w:adjustRightInd w:val="0"/>
        <w:spacing w:line="480" w:lineRule="exact"/>
        <w:rPr>
          <w:rFonts w:ascii="方正仿宋_GBK" w:hAnsi="方正仿宋_GBK" w:eastAsia="方正仿宋_GBK" w:cs="方正仿宋_GBK"/>
          <w:color w:val="000000"/>
          <w:sz w:val="24"/>
          <w:szCs w:val="24"/>
        </w:rPr>
      </w:pPr>
      <w:bookmarkStart w:id="48" w:name="_Toc267320054"/>
      <w:bookmarkStart w:id="49" w:name="_Toc522378526"/>
      <w:bookmarkStart w:id="50" w:name="_Toc19392"/>
      <w:r>
        <w:rPr>
          <w:rFonts w:hint="eastAsia" w:ascii="方正仿宋_GBK" w:hAnsi="方正仿宋_GBK" w:eastAsia="方正仿宋_GBK" w:cs="方正仿宋_GBK"/>
          <w:color w:val="000000"/>
          <w:sz w:val="24"/>
          <w:szCs w:val="24"/>
        </w:rPr>
        <w:t>六、</w:t>
      </w:r>
      <w:bookmarkEnd w:id="48"/>
      <w:r>
        <w:rPr>
          <w:rFonts w:hint="eastAsia" w:ascii="方正仿宋_GBK" w:hAnsi="方正仿宋_GBK" w:eastAsia="方正仿宋_GBK" w:cs="方正仿宋_GBK"/>
          <w:color w:val="000000"/>
          <w:sz w:val="24"/>
          <w:szCs w:val="24"/>
        </w:rPr>
        <w:t>其他商务要求内容</w:t>
      </w:r>
      <w:bookmarkEnd w:id="49"/>
      <w:bookmarkEnd w:id="50"/>
    </w:p>
    <w:p>
      <w:pPr>
        <w:keepNext w:val="0"/>
        <w:keepLines w:val="0"/>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center"/>
        <w:textAlignment w:val="auto"/>
        <w:outlineLvl w:val="1"/>
        <w:rPr>
          <w:rFonts w:ascii="宋体" w:hAnsi="宋体"/>
          <w:b/>
          <w:color w:val="000000"/>
          <w:sz w:val="32"/>
          <w:szCs w:val="32"/>
        </w:rPr>
      </w:pPr>
      <w:r>
        <w:rPr>
          <w:rFonts w:hint="eastAsia" w:ascii="宋体" w:hAnsi="宋体"/>
        </w:rPr>
        <w:br w:type="page"/>
      </w:r>
      <w:bookmarkEnd w:id="37"/>
      <w:bookmarkEnd w:id="38"/>
      <w:r>
        <w:rPr>
          <w:rFonts w:hint="eastAsia" w:ascii="方正小标宋_GBK" w:hAnsi="方正小标宋_GBK" w:eastAsia="方正小标宋_GBK" w:cs="方正小标宋_GBK"/>
          <w:b/>
          <w:color w:val="000000"/>
          <w:kern w:val="2"/>
          <w:sz w:val="36"/>
          <w:szCs w:val="36"/>
          <w:lang w:val="en-US" w:eastAsia="zh-CN" w:bidi="ar-SA"/>
        </w:rPr>
        <w:t xml:space="preserve">第四篇  </w:t>
      </w:r>
      <w:bookmarkEnd w:id="32"/>
      <w:bookmarkEnd w:id="33"/>
      <w:r>
        <w:rPr>
          <w:rFonts w:hint="eastAsia" w:ascii="方正小标宋_GBK" w:hAnsi="方正小标宋_GBK" w:eastAsia="方正小标宋_GBK" w:cs="方正小标宋_GBK"/>
          <w:b/>
          <w:color w:val="000000"/>
          <w:kern w:val="2"/>
          <w:sz w:val="36"/>
          <w:szCs w:val="36"/>
          <w:lang w:val="en-US" w:eastAsia="zh-CN" w:bidi="ar-SA"/>
        </w:rPr>
        <w:t>磋商程序及方法、评审标准、无效响应和采购终止</w:t>
      </w:r>
    </w:p>
    <w:p>
      <w:pPr>
        <w:pStyle w:val="6"/>
        <w:spacing w:line="480" w:lineRule="exact"/>
        <w:rPr>
          <w:rFonts w:ascii="方正仿宋_GBK" w:hAnsi="方正仿宋_GBK" w:eastAsia="方正仿宋_GBK" w:cs="方正仿宋_GBK"/>
          <w:color w:val="000000"/>
          <w:sz w:val="24"/>
          <w:szCs w:val="24"/>
        </w:rPr>
      </w:pPr>
      <w:bookmarkStart w:id="51" w:name="_Toc12128"/>
      <w:r>
        <w:rPr>
          <w:rFonts w:hint="eastAsia" w:ascii="方正仿宋_GBK" w:hAnsi="方正仿宋_GBK" w:eastAsia="方正仿宋_GBK" w:cs="方正仿宋_GBK"/>
          <w:color w:val="000000"/>
          <w:sz w:val="24"/>
          <w:szCs w:val="24"/>
        </w:rPr>
        <w:t>一、磋商程序及方法</w:t>
      </w:r>
      <w:bookmarkEnd w:id="51"/>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（二）磋商小组对各供应商的资格条件、响应文件的有效性、完整性和响应程度进行审查。各供应商只有在完全符合要求的前提下，才能参与正式磋商。</w:t>
      </w:r>
    </w:p>
    <w:p>
      <w:pPr>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1．资格性检查。依据法律法规和竞争性磋商文件的规定，对响应文件中的资格证明、磋商保证金等进行审查，以确定供应商是否具备磋商资格。资格性检查资料表如下：</w:t>
      </w:r>
    </w:p>
    <w:tbl>
      <w:tblPr>
        <w:tblStyle w:val="6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675" w:type="dxa"/>
            <w:vMerge w:val="restart"/>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spacing w:line="24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供应商营业执照（副本）、资质证书（副本），全部复印件。</w:t>
            </w:r>
          </w:p>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提供2020年度财务状况报告（表）或其基本帐户开户银行出具的资信证明复印件，本年度新成立或成立不满一年的组织无法提供财务状况报告（表）的，可提供银行出具的资信证明复印件。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供应商提供书面声明（见格式文件）或相关证明材料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 营业执照（副本）复印件（注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w:instrText>
            </w:r>
            <w:r>
              <w:rPr>
                <w:rFonts w:hint="eastAsia" w:ascii="方正仿宋_GBK" w:hAnsi="方正仿宋_GBK" w:eastAsia="方正仿宋_GBK" w:cs="方正仿宋_GBK"/>
                <w:color w:val="000000"/>
                <w:position w:val="-4"/>
                <w:sz w:val="21"/>
                <w:szCs w:val="21"/>
              </w:rPr>
              <w:instrText xml:space="preserve">○</w:instrText>
            </w:r>
            <w:r>
              <w:rPr>
                <w:rFonts w:hint="eastAsia" w:ascii="方正仿宋_GBK" w:hAnsi="方正仿宋_GBK" w:eastAsia="方正仿宋_GBK" w:cs="方正仿宋_GBK"/>
                <w:color w:val="000000"/>
                <w:sz w:val="21"/>
                <w:szCs w:val="21"/>
              </w:rPr>
              <w:instrText xml:space="preserve">,2)</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w:t>
            </w:r>
          </w:p>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2.缴纳社会保障金的证明材料复印件（缴纳社会保障金的证明材料指：社会保险登记证（注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w:instrText>
            </w:r>
            <w:r>
              <w:rPr>
                <w:rFonts w:hint="eastAsia" w:ascii="方正仿宋_GBK" w:hAnsi="方正仿宋_GBK" w:eastAsia="方正仿宋_GBK" w:cs="方正仿宋_GBK"/>
                <w:color w:val="000000"/>
                <w:position w:val="-4"/>
                <w:sz w:val="21"/>
                <w:szCs w:val="21"/>
              </w:rPr>
              <w:instrText xml:space="preserve">○</w:instrText>
            </w:r>
            <w:r>
              <w:rPr>
                <w:rFonts w:hint="eastAsia" w:ascii="方正仿宋_GBK" w:hAnsi="方正仿宋_GBK" w:eastAsia="方正仿宋_GBK" w:cs="方正仿宋_GBK"/>
                <w:color w:val="000000"/>
                <w:sz w:val="21"/>
                <w:szCs w:val="21"/>
              </w:rPr>
              <w:instrText xml:space="preserve">,2)</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）或缴纳社会保险的凭据（专用收据或社会保险缴纳清单）。依法免税或不需要缴纳社会保障资金的供应商，应提供相应文件证明其依法免税或不需要缴纳社会保障资金。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5）参加政府采购活动前一年内，在经营活动中没有重大违法记录（注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w:instrText>
            </w:r>
            <w:r>
              <w:rPr>
                <w:rFonts w:hint="eastAsia" w:ascii="方正仿宋_GBK" w:hAnsi="方正仿宋_GBK" w:eastAsia="方正仿宋_GBK" w:cs="方正仿宋_GBK"/>
                <w:color w:val="000000"/>
                <w:position w:val="-4"/>
                <w:sz w:val="21"/>
                <w:szCs w:val="21"/>
              </w:rPr>
              <w:instrText xml:space="preserve">○</w:instrText>
            </w:r>
            <w:r>
              <w:rPr>
                <w:rFonts w:hint="eastAsia" w:ascii="方正仿宋_GBK" w:hAnsi="方正仿宋_GBK" w:eastAsia="方正仿宋_GBK" w:cs="方正仿宋_GBK"/>
                <w:color w:val="000000"/>
                <w:sz w:val="21"/>
                <w:szCs w:val="21"/>
              </w:rPr>
              <w:instrText xml:space="preserve">,3)</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w:t>
            </w:r>
          </w:p>
        </w:tc>
        <w:tc>
          <w:tcPr>
            <w:tcW w:w="5551" w:type="dxa"/>
            <w:vAlign w:val="center"/>
          </w:tcPr>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1.供应商提供书面声明（见格式文件）；</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r>
              <w:rPr>
                <w:rFonts w:hint="eastAsia" w:ascii="方正仿宋_GBK" w:hAnsi="方正仿宋_GBK" w:eastAsia="方正仿宋_GBK" w:cs="方正仿宋_GBK"/>
                <w:color w:val="000000"/>
                <w:sz w:val="21"/>
                <w:szCs w:val="21"/>
                <w:lang w:val="en-US" w:eastAsia="zh-CN"/>
              </w:rPr>
              <w:t>供应商自行</w:t>
            </w:r>
            <w:r>
              <w:rPr>
                <w:rFonts w:hint="eastAsia" w:ascii="方正仿宋_GBK" w:hAnsi="方正仿宋_GBK" w:eastAsia="方正仿宋_GBK" w:cs="方正仿宋_GBK"/>
                <w:color w:val="000000"/>
                <w:sz w:val="21"/>
                <w:szCs w:val="21"/>
              </w:rPr>
              <w:t>通过“信用中国”网站(www.creditchina.gov.cn)、"中国政府采购网"(www.ccgp.gov.cn)查询供应商信用记录，</w:t>
            </w:r>
            <w:r>
              <w:rPr>
                <w:rFonts w:hint="eastAsia" w:ascii="方正仿宋_GBK" w:hAnsi="方正仿宋_GBK" w:eastAsia="方正仿宋_GBK" w:cs="方正仿宋_GBK"/>
                <w:color w:val="000000"/>
                <w:sz w:val="21"/>
                <w:szCs w:val="21"/>
                <w:lang w:val="en-US" w:eastAsia="zh-CN"/>
              </w:rPr>
              <w:t>并截图打印。</w:t>
            </w:r>
            <w:r>
              <w:rPr>
                <w:rFonts w:hint="eastAsia" w:ascii="方正仿宋_GBK" w:hAnsi="方正仿宋_GBK" w:eastAsia="方正仿宋_GBK" w:cs="方正仿宋_GBK"/>
                <w:color w:val="000000"/>
                <w:sz w:val="21"/>
                <w:szCs w:val="21"/>
              </w:rPr>
              <w:t>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spacing w:line="240" w:lineRule="exact"/>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按第一篇“（二）特定资格条件”的要求提交证明文件复印件并加盖供应商公章，原件备查。</w:t>
            </w:r>
          </w:p>
        </w:tc>
      </w:tr>
    </w:tbl>
    <w:p>
      <w:pPr>
        <w:snapToGrid w:val="0"/>
        <w:spacing w:line="4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snapToGrid w:val="0"/>
        <w:spacing w:line="400" w:lineRule="exact"/>
        <w:ind w:firstLine="48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rPr>
        <w:fldChar w:fldCharType="begin"/>
      </w:r>
      <w:r>
        <w:rPr>
          <w:rFonts w:hint="eastAsia" w:ascii="方正仿宋_GBK" w:hAnsi="方正仿宋_GBK" w:eastAsia="方正仿宋_GBK" w:cs="方正仿宋_GBK"/>
          <w:color w:val="000000"/>
          <w:sz w:val="24"/>
          <w:szCs w:val="24"/>
        </w:rPr>
        <w:instrText xml:space="preserve"> eq \o\ac(</w:instrText>
      </w:r>
      <w:r>
        <w:rPr>
          <w:rFonts w:hint="eastAsia" w:ascii="方正仿宋_GBK" w:hAnsi="方正仿宋_GBK" w:eastAsia="方正仿宋_GBK" w:cs="方正仿宋_GBK"/>
          <w:color w:val="000000"/>
          <w:position w:val="-4"/>
          <w:sz w:val="36"/>
          <w:szCs w:val="24"/>
        </w:rPr>
        <w:instrText xml:space="preserve">○</w:instrText>
      </w:r>
      <w:r>
        <w:rPr>
          <w:rFonts w:hint="eastAsia" w:ascii="方正仿宋_GBK" w:hAnsi="方正仿宋_GBK" w:eastAsia="方正仿宋_GBK" w:cs="方正仿宋_GBK"/>
          <w:color w:val="000000"/>
          <w:sz w:val="24"/>
          <w:szCs w:val="24"/>
        </w:rPr>
        <w:instrText xml:space="preserve">,1)</w:instrText>
      </w:r>
      <w:r>
        <w:rPr>
          <w:rFonts w:hint="eastAsia" w:ascii="方正仿宋_GBK" w:hAnsi="方正仿宋_GBK" w:eastAsia="方正仿宋_GBK" w:cs="方正仿宋_GBK"/>
          <w:color w:val="000000"/>
          <w:sz w:val="24"/>
          <w:szCs w:val="24"/>
        </w:rPr>
        <w:fldChar w:fldCharType="end"/>
      </w:r>
      <w:r>
        <w:rPr>
          <w:rFonts w:hint="eastAsia" w:ascii="方正仿宋_GBK" w:hAnsi="方正仿宋_GBK" w:eastAsia="方正仿宋_GBK" w:cs="方正仿宋_GBK"/>
          <w:color w:val="000000"/>
          <w:sz w:val="24"/>
          <w:szCs w:val="24"/>
        </w:rPr>
        <w:t>以联合体参与磋商的，共同</w:t>
      </w:r>
      <w:r>
        <w:rPr>
          <w:rFonts w:hint="eastAsia" w:ascii="方正仿宋_GBK" w:hAnsi="方正仿宋_GBK" w:eastAsia="方正仿宋_GBK" w:cs="方正仿宋_GBK"/>
          <w:color w:val="000000"/>
          <w:sz w:val="24"/>
          <w:szCs w:val="24"/>
          <w:lang w:eastAsia="zh-CN"/>
        </w:rPr>
        <w:t>磋商</w:t>
      </w:r>
      <w:r>
        <w:rPr>
          <w:rFonts w:hint="eastAsia" w:ascii="方正仿宋_GBK" w:hAnsi="方正仿宋_GBK" w:eastAsia="方正仿宋_GBK" w:cs="方正仿宋_GBK"/>
          <w:color w:val="000000"/>
          <w:sz w:val="24"/>
          <w:szCs w:val="24"/>
        </w:rPr>
        <w:t>协议中应确定主办方（主体），代表联合体进行</w:t>
      </w:r>
      <w:r>
        <w:rPr>
          <w:rFonts w:hint="eastAsia" w:ascii="方正仿宋_GBK" w:hAnsi="方正仿宋_GBK" w:eastAsia="方正仿宋_GBK" w:cs="方正仿宋_GBK"/>
          <w:color w:val="000000"/>
          <w:sz w:val="24"/>
          <w:szCs w:val="24"/>
          <w:lang w:eastAsia="zh-CN"/>
        </w:rPr>
        <w:t>磋商</w:t>
      </w:r>
      <w:r>
        <w:rPr>
          <w:rFonts w:hint="eastAsia" w:ascii="方正仿宋_GBK" w:hAnsi="方正仿宋_GBK" w:eastAsia="方正仿宋_GBK" w:cs="方正仿宋_GBK"/>
          <w:color w:val="000000"/>
          <w:sz w:val="24"/>
          <w:szCs w:val="24"/>
        </w:rPr>
        <w:t>和澄清。法定代表人授权委托书由联合体主办方</w:t>
      </w:r>
      <w:r>
        <w:rPr>
          <w:rFonts w:hint="eastAsia" w:ascii="方正仿宋_GBK" w:hAnsi="方正仿宋_GBK" w:eastAsia="方正仿宋_GBK" w:cs="方正仿宋_GBK"/>
          <w:color w:val="000000"/>
          <w:kern w:val="0"/>
          <w:sz w:val="24"/>
          <w:szCs w:val="24"/>
        </w:rPr>
        <w:t>（主体）</w:t>
      </w:r>
      <w:r>
        <w:rPr>
          <w:rFonts w:hint="eastAsia" w:ascii="方正仿宋_GBK" w:hAnsi="方正仿宋_GBK" w:eastAsia="方正仿宋_GBK" w:cs="方正仿宋_GBK"/>
          <w:color w:val="000000"/>
          <w:sz w:val="24"/>
          <w:szCs w:val="24"/>
        </w:rPr>
        <w:t>出具。</w:t>
      </w:r>
      <w:r>
        <w:rPr>
          <w:rFonts w:hint="eastAsia" w:ascii="方正仿宋_GBK" w:hAnsi="方正仿宋_GBK" w:eastAsia="方正仿宋_GBK" w:cs="方正仿宋_GBK"/>
          <w:color w:val="000000"/>
          <w:kern w:val="0"/>
          <w:sz w:val="24"/>
          <w:szCs w:val="24"/>
        </w:rPr>
        <w:t>联合体各方均应满足供应商资格要求（详见“第一篇”）。（本工程不接纳联合体磋商）</w:t>
      </w:r>
    </w:p>
    <w:p>
      <w:pPr>
        <w:tabs>
          <w:tab w:val="left" w:pos="6300"/>
        </w:tabs>
        <w:snapToGrid w:val="0"/>
        <w:spacing w:line="5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4"/>
          <w:sz w:val="36"/>
          <w:szCs w:val="24"/>
        </w:rPr>
        <w:instrText xml:space="preserve">○</w:instrText>
      </w:r>
      <w:r>
        <w:rPr>
          <w:rFonts w:hint="eastAsia" w:ascii="方正仿宋_GBK" w:hAnsi="方正仿宋_GBK" w:eastAsia="方正仿宋_GBK" w:cs="方正仿宋_GBK"/>
          <w:color w:val="000000"/>
          <w:kern w:val="0"/>
          <w:sz w:val="24"/>
          <w:szCs w:val="24"/>
        </w:rPr>
        <w:instrText xml:space="preserve">,2)</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按“五证合一”登记制度办理营业执照的，组织机构代码证、税务登记证（副本）和社会保险登记证以供应商所提供的营业执照（副本）复印件为准。</w:t>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按“三证合一”登记制度办理营业</w:t>
      </w:r>
      <w:r>
        <w:rPr>
          <w:rFonts w:hint="eastAsia" w:ascii="方正仿宋_GBK" w:hAnsi="方正仿宋_GBK" w:eastAsia="方正仿宋_GBK" w:cs="方正仿宋_GBK"/>
          <w:color w:val="000000"/>
          <w:sz w:val="24"/>
          <w:szCs w:val="24"/>
        </w:rPr>
        <w:t>执照的，组织机构代码证和税务登记证以供应商所提供的营业执照（副本）复印件为准。</w:t>
      </w:r>
    </w:p>
    <w:p>
      <w:pPr>
        <w:spacing w:line="44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fldChar w:fldCharType="begin"/>
      </w:r>
      <w:r>
        <w:rPr>
          <w:rFonts w:hint="eastAsia" w:ascii="方正仿宋_GBK" w:hAnsi="方正仿宋_GBK" w:eastAsia="方正仿宋_GBK" w:cs="方正仿宋_GBK"/>
          <w:color w:val="000000"/>
          <w:sz w:val="24"/>
          <w:szCs w:val="24"/>
        </w:rPr>
        <w:instrText xml:space="preserve"> eq \o\ac(</w:instrText>
      </w:r>
      <w:r>
        <w:rPr>
          <w:rFonts w:hint="eastAsia" w:ascii="方正仿宋_GBK" w:hAnsi="方正仿宋_GBK" w:eastAsia="方正仿宋_GBK" w:cs="方正仿宋_GBK"/>
          <w:color w:val="000000"/>
          <w:position w:val="-4"/>
          <w:sz w:val="36"/>
          <w:szCs w:val="24"/>
        </w:rPr>
        <w:instrText xml:space="preserve">○</w:instrText>
      </w:r>
      <w:r>
        <w:rPr>
          <w:rFonts w:hint="eastAsia" w:ascii="方正仿宋_GBK" w:hAnsi="方正仿宋_GBK" w:eastAsia="方正仿宋_GBK" w:cs="方正仿宋_GBK"/>
          <w:color w:val="000000"/>
          <w:sz w:val="24"/>
          <w:szCs w:val="24"/>
        </w:rPr>
        <w:instrText xml:space="preserve">,3)</w:instrText>
      </w:r>
      <w:r>
        <w:rPr>
          <w:rFonts w:hint="eastAsia" w:ascii="方正仿宋_GBK" w:hAnsi="方正仿宋_GBK" w:eastAsia="方正仿宋_GBK" w:cs="方正仿宋_GBK"/>
          <w:color w:val="000000"/>
          <w:sz w:val="24"/>
          <w:szCs w:val="24"/>
        </w:rPr>
        <w:fldChar w:fldCharType="end"/>
      </w:r>
      <w:r>
        <w:rPr>
          <w:rFonts w:hint="eastAsia" w:ascii="方正仿宋_GBK" w:hAnsi="方正仿宋_GBK" w:eastAsia="方正仿宋_GBK" w:cs="方正仿宋_GBK"/>
          <w:color w:val="000000"/>
          <w:kern w:val="0"/>
          <w:sz w:val="24"/>
          <w:szCs w:val="24"/>
        </w:rPr>
        <w:t>根据《中华人民共和国政府采购法实施条例》第十九条“参加政府采购活动前一年内，在经营活动中没有重大违法记录”中“重大违法记录”，是指</w:t>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7"/>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984"/>
        <w:gridCol w:w="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75"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评审因素</w:t>
            </w:r>
          </w:p>
        </w:tc>
        <w:tc>
          <w:tcPr>
            <w:tcW w:w="5608"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75" w:type="dxa"/>
            <w:vMerge w:val="restart"/>
            <w:vAlign w:val="center"/>
          </w:tcPr>
          <w:p>
            <w:pPr>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418" w:type="dxa"/>
            <w:vMerge w:val="restart"/>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有效性审查</w:t>
            </w: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响应文件签署</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1"/>
                <w:szCs w:val="21"/>
              </w:rPr>
            </w:pPr>
          </w:p>
        </w:tc>
        <w:tc>
          <w:tcPr>
            <w:tcW w:w="1418" w:type="dxa"/>
            <w:vMerge w:val="continue"/>
            <w:vAlign w:val="center"/>
          </w:tcPr>
          <w:p>
            <w:pPr>
              <w:spacing w:line="240" w:lineRule="exact"/>
              <w:rPr>
                <w:rFonts w:ascii="方正仿宋_GBK" w:hAnsi="方正仿宋_GBK" w:eastAsia="方正仿宋_GBK" w:cs="方正仿宋_GBK"/>
                <w:color w:val="000000"/>
                <w:sz w:val="21"/>
                <w:szCs w:val="21"/>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法定代表人身份证明及授权委托书</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1"/>
                <w:szCs w:val="21"/>
              </w:rPr>
            </w:pPr>
          </w:p>
        </w:tc>
        <w:tc>
          <w:tcPr>
            <w:tcW w:w="1418" w:type="dxa"/>
            <w:vMerge w:val="continue"/>
            <w:vAlign w:val="center"/>
          </w:tcPr>
          <w:p>
            <w:pPr>
              <w:spacing w:line="240" w:lineRule="exact"/>
              <w:rPr>
                <w:rFonts w:ascii="方正仿宋_GBK" w:hAnsi="方正仿宋_GBK" w:eastAsia="方正仿宋_GBK" w:cs="方正仿宋_GBK"/>
                <w:color w:val="000000"/>
                <w:sz w:val="21"/>
                <w:szCs w:val="21"/>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磋商方案</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通过现场踏勘并取得回执，</w:t>
            </w:r>
            <w:r>
              <w:rPr>
                <w:rFonts w:hint="eastAsia" w:ascii="方正仿宋_GBK" w:hAnsi="方正仿宋_GBK" w:eastAsia="方正仿宋_GBK" w:cs="方正仿宋_GBK"/>
                <w:color w:val="000000"/>
                <w:sz w:val="21"/>
                <w:szCs w:val="21"/>
              </w:rPr>
              <w:t>且只能有一个方案参与磋商。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1"/>
                <w:szCs w:val="21"/>
              </w:rPr>
            </w:pPr>
          </w:p>
        </w:tc>
        <w:tc>
          <w:tcPr>
            <w:tcW w:w="1418" w:type="dxa"/>
            <w:vMerge w:val="continue"/>
            <w:vAlign w:val="center"/>
          </w:tcPr>
          <w:p>
            <w:pPr>
              <w:spacing w:line="240" w:lineRule="exact"/>
              <w:rPr>
                <w:rFonts w:ascii="方正仿宋_GBK" w:hAnsi="方正仿宋_GBK" w:eastAsia="方正仿宋_GBK" w:cs="方正仿宋_GBK"/>
                <w:color w:val="000000"/>
                <w:sz w:val="21"/>
                <w:szCs w:val="21"/>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报价唯一</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只能在采购预算范围内报价，只能有一个有效报价，不得提交选择性报价。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75" w:type="dxa"/>
            <w:vAlign w:val="center"/>
          </w:tcPr>
          <w:p>
            <w:pPr>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141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完整性审查</w:t>
            </w: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响应文件份数</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响应文件正、副本数量（含电子文档）符合竞争性磋商文件要求。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75" w:type="dxa"/>
            <w:vMerge w:val="restart"/>
            <w:vAlign w:val="center"/>
          </w:tcPr>
          <w:p>
            <w:pPr>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1418" w:type="dxa"/>
            <w:vMerge w:val="restart"/>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竞争性磋商文件的响应程度审查</w:t>
            </w: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响应文件内容</w:t>
            </w:r>
          </w:p>
        </w:tc>
        <w:tc>
          <w:tcPr>
            <w:tcW w:w="5608" w:type="dxa"/>
            <w:vAlign w:val="center"/>
          </w:tcPr>
          <w:p>
            <w:pPr>
              <w:pStyle w:val="35"/>
              <w:spacing w:line="240" w:lineRule="exact"/>
              <w:rPr>
                <w:rFonts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对竞争性磋商文件第二篇规定的内容作出响应。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1418" w:type="dxa"/>
            <w:vMerge w:val="continue"/>
            <w:vAlign w:val="center"/>
          </w:tcPr>
          <w:p>
            <w:pPr>
              <w:spacing w:line="240" w:lineRule="exact"/>
              <w:rPr>
                <w:rFonts w:ascii="方正仿宋_GBK" w:hAnsi="方正仿宋_GBK" w:eastAsia="方正仿宋_GBK" w:cs="方正仿宋_GBK"/>
                <w:color w:val="000000"/>
                <w:sz w:val="24"/>
                <w:szCs w:val="24"/>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磋商有效期</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满足竞争性磋商文件规定。</w:t>
            </w:r>
          </w:p>
        </w:tc>
      </w:tr>
    </w:tbl>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（五）在磋商过程中磋商的任何一方不得向他人透露与磋商有关的技术资料、价格或其他信息。</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（七）供应商在磋商时作出的所有书面承诺须由法定代表人或其授权代表签字。</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十）磋商小组各成员对每个有效响应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最后报价由低到高的顺序排列推荐。评审得分且最后报价相同的，按照技术指标优劣顺序排列推荐。</w:t>
      </w:r>
    </w:p>
    <w:p>
      <w:pPr>
        <w:pStyle w:val="6"/>
        <w:spacing w:line="480" w:lineRule="exact"/>
        <w:rPr>
          <w:rFonts w:ascii="方正仿宋_GBK" w:hAnsi="方正仿宋_GBK" w:eastAsia="方正仿宋_GBK" w:cs="方正仿宋_GBK"/>
          <w:color w:val="000000"/>
          <w:sz w:val="24"/>
          <w:szCs w:val="24"/>
        </w:rPr>
      </w:pPr>
      <w:bookmarkStart w:id="52" w:name="_Toc428437946"/>
      <w:bookmarkStart w:id="53" w:name="_Toc15323"/>
      <w:r>
        <w:rPr>
          <w:rFonts w:hint="eastAsia" w:ascii="方正仿宋_GBK" w:hAnsi="方正仿宋_GBK" w:eastAsia="方正仿宋_GBK" w:cs="方正仿宋_GBK"/>
          <w:color w:val="000000"/>
          <w:sz w:val="24"/>
          <w:szCs w:val="24"/>
        </w:rPr>
        <w:t>二、</w:t>
      </w:r>
      <w:bookmarkStart w:id="54" w:name="_Toc342913394"/>
      <w:bookmarkStart w:id="55" w:name="_Toc102227320"/>
      <w:r>
        <w:rPr>
          <w:rFonts w:hint="eastAsia" w:ascii="方正仿宋_GBK" w:hAnsi="方正仿宋_GBK" w:eastAsia="方正仿宋_GBK" w:cs="方正仿宋_GBK"/>
          <w:color w:val="000000"/>
          <w:sz w:val="24"/>
          <w:szCs w:val="24"/>
        </w:rPr>
        <w:t>评审标准</w:t>
      </w:r>
      <w:bookmarkEnd w:id="52"/>
      <w:bookmarkEnd w:id="53"/>
    </w:p>
    <w:tbl>
      <w:tblPr>
        <w:tblStyle w:val="6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06"/>
        <w:gridCol w:w="1276"/>
        <w:gridCol w:w="467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trPr>
        <w:tc>
          <w:tcPr>
            <w:tcW w:w="737" w:type="dxa"/>
            <w:vAlign w:val="center"/>
          </w:tcPr>
          <w:p>
            <w:pPr>
              <w:spacing w:line="240" w:lineRule="atLeast"/>
              <w:ind w:firstLine="28"/>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1106" w:type="dxa"/>
            <w:vAlign w:val="center"/>
          </w:tcPr>
          <w:p>
            <w:pPr>
              <w:spacing w:line="240" w:lineRule="atLeast"/>
              <w:ind w:firstLine="28"/>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评分因素及权值</w:t>
            </w:r>
          </w:p>
        </w:tc>
        <w:tc>
          <w:tcPr>
            <w:tcW w:w="1276" w:type="dxa"/>
            <w:vAlign w:val="center"/>
          </w:tcPr>
          <w:p>
            <w:pPr>
              <w:spacing w:line="240" w:lineRule="atLeast"/>
              <w:ind w:firstLine="28"/>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分值</w:t>
            </w:r>
          </w:p>
        </w:tc>
        <w:tc>
          <w:tcPr>
            <w:tcW w:w="4678" w:type="dxa"/>
            <w:vAlign w:val="center"/>
          </w:tcPr>
          <w:p>
            <w:pPr>
              <w:spacing w:line="240" w:lineRule="atLeast"/>
              <w:ind w:firstLine="28"/>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评分标准</w:t>
            </w:r>
          </w:p>
        </w:tc>
        <w:tc>
          <w:tcPr>
            <w:tcW w:w="1701" w:type="dxa"/>
            <w:vAlign w:val="center"/>
          </w:tcPr>
          <w:p>
            <w:pPr>
              <w:spacing w:line="240" w:lineRule="atLeas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7" w:hRule="atLeast"/>
        </w:trPr>
        <w:tc>
          <w:tcPr>
            <w:tcW w:w="737" w:type="dxa"/>
            <w:tcBorders>
              <w:bottom w:val="single" w:color="auto" w:sz="4" w:space="0"/>
            </w:tcBorders>
            <w:vAlign w:val="center"/>
          </w:tcPr>
          <w:p>
            <w:pPr>
              <w:spacing w:line="240" w:lineRule="atLeast"/>
              <w:ind w:firstLine="28"/>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1106" w:type="dxa"/>
            <w:tcBorders>
              <w:bottom w:val="single" w:color="auto" w:sz="4" w:space="0"/>
            </w:tcBorders>
            <w:vAlign w:val="center"/>
          </w:tcPr>
          <w:p>
            <w:pPr>
              <w:spacing w:line="240" w:lineRule="atLeast"/>
              <w:ind w:firstLine="28"/>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磋商报价</w:t>
            </w:r>
          </w:p>
          <w:p>
            <w:pPr>
              <w:spacing w:line="240" w:lineRule="atLeast"/>
              <w:ind w:firstLine="28"/>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10</w:t>
            </w:r>
            <w:r>
              <w:rPr>
                <w:rFonts w:hint="eastAsia" w:ascii="方正仿宋_GBK" w:hAnsi="方正仿宋_GBK" w:eastAsia="方正仿宋_GBK" w:cs="方正仿宋_GBK"/>
                <w:color w:val="auto"/>
                <w:sz w:val="21"/>
                <w:szCs w:val="21"/>
              </w:rPr>
              <w:t>%）</w:t>
            </w:r>
          </w:p>
        </w:tc>
        <w:tc>
          <w:tcPr>
            <w:tcW w:w="1276" w:type="dxa"/>
            <w:tcBorders>
              <w:bottom w:val="single" w:color="auto" w:sz="4" w:space="0"/>
            </w:tcBorders>
            <w:vAlign w:val="center"/>
          </w:tcPr>
          <w:p>
            <w:pPr>
              <w:spacing w:line="240" w:lineRule="atLeast"/>
              <w:ind w:firstLine="28"/>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0分</w:t>
            </w:r>
          </w:p>
        </w:tc>
        <w:tc>
          <w:tcPr>
            <w:tcW w:w="4678" w:type="dxa"/>
            <w:tcBorders>
              <w:bottom w:val="single" w:color="auto" w:sz="4" w:space="0"/>
            </w:tcBorders>
            <w:vAlign w:val="center"/>
          </w:tcPr>
          <w:p>
            <w:pPr>
              <w:spacing w:line="240" w:lineRule="atLeast"/>
              <w:ind w:firstLine="28"/>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有效的</w:t>
            </w:r>
            <w:r>
              <w:rPr>
                <w:rFonts w:hint="eastAsia" w:ascii="方正仿宋_GBK" w:hAnsi="方正仿宋_GBK" w:eastAsia="方正仿宋_GBK" w:cs="方正仿宋_GBK"/>
                <w:color w:val="auto"/>
                <w:sz w:val="21"/>
                <w:szCs w:val="21"/>
                <w:lang w:eastAsia="zh-CN"/>
              </w:rPr>
              <w:t>磋商</w:t>
            </w:r>
            <w:r>
              <w:rPr>
                <w:rFonts w:hint="eastAsia" w:ascii="方正仿宋_GBK" w:hAnsi="方正仿宋_GBK" w:eastAsia="方正仿宋_GBK" w:cs="方正仿宋_GBK"/>
                <w:color w:val="auto"/>
                <w:sz w:val="21"/>
                <w:szCs w:val="21"/>
              </w:rPr>
              <w:t>报价中的最低价为评标基准价，按照下列公式计算每个</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的</w:t>
            </w:r>
            <w:r>
              <w:rPr>
                <w:rFonts w:hint="eastAsia" w:ascii="方正仿宋_GBK" w:hAnsi="方正仿宋_GBK" w:eastAsia="方正仿宋_GBK" w:cs="方正仿宋_GBK"/>
                <w:color w:val="auto"/>
                <w:sz w:val="21"/>
                <w:szCs w:val="21"/>
                <w:lang w:eastAsia="zh-CN"/>
              </w:rPr>
              <w:t>磋商</w:t>
            </w:r>
            <w:r>
              <w:rPr>
                <w:rFonts w:hint="eastAsia" w:ascii="方正仿宋_GBK" w:hAnsi="方正仿宋_GBK" w:eastAsia="方正仿宋_GBK" w:cs="方正仿宋_GBK"/>
                <w:color w:val="auto"/>
                <w:sz w:val="21"/>
                <w:szCs w:val="21"/>
              </w:rPr>
              <w:t>价格得分。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eastAsia="zh-CN"/>
              </w:rPr>
              <w:t>磋商</w:t>
            </w:r>
            <w:r>
              <w:rPr>
                <w:rFonts w:hint="eastAsia" w:ascii="方正仿宋_GBK" w:hAnsi="方正仿宋_GBK" w:eastAsia="方正仿宋_GBK" w:cs="方正仿宋_GBK"/>
                <w:color w:val="auto"/>
                <w:sz w:val="21"/>
                <w:szCs w:val="21"/>
              </w:rPr>
              <w:t>报价得分＝（评标基准价/</w:t>
            </w:r>
            <w:r>
              <w:rPr>
                <w:rFonts w:hint="eastAsia" w:ascii="方正仿宋_GBK" w:hAnsi="方正仿宋_GBK" w:eastAsia="方正仿宋_GBK" w:cs="方正仿宋_GBK"/>
                <w:color w:val="auto"/>
                <w:sz w:val="21"/>
                <w:szCs w:val="21"/>
                <w:lang w:eastAsia="zh-CN"/>
              </w:rPr>
              <w:t>磋商</w:t>
            </w:r>
            <w:r>
              <w:rPr>
                <w:rFonts w:hint="eastAsia" w:ascii="方正仿宋_GBK" w:hAnsi="方正仿宋_GBK" w:eastAsia="方正仿宋_GBK" w:cs="方正仿宋_GBK"/>
                <w:color w:val="auto"/>
                <w:sz w:val="21"/>
                <w:szCs w:val="21"/>
              </w:rPr>
              <w:t>报价）×价格权重×100。</w:t>
            </w:r>
          </w:p>
        </w:tc>
        <w:tc>
          <w:tcPr>
            <w:tcW w:w="1701" w:type="dxa"/>
            <w:tcBorders>
              <w:bottom w:val="single" w:color="auto" w:sz="4" w:space="0"/>
            </w:tcBorders>
            <w:vAlign w:val="center"/>
          </w:tcPr>
          <w:p>
            <w:pPr>
              <w:spacing w:line="240" w:lineRule="atLeast"/>
              <w:ind w:left="-38" w:firstLine="360" w:firstLineChars="0"/>
              <w:rPr>
                <w:rFonts w:ascii="方正仿宋_GBK" w:hAnsi="方正仿宋_GBK" w:eastAsia="方正仿宋_GBK" w:cs="方正仿宋_GBK"/>
                <w:color w:val="auto"/>
                <w:sz w:val="21"/>
                <w:szCs w:val="21"/>
              </w:rPr>
            </w:pPr>
            <w:r>
              <w:rPr>
                <w:rFonts w:hint="eastAsia" w:ascii="方正仿宋_GBK" w:hAnsi="宋体" w:eastAsia="方正仿宋_GBK"/>
                <w:sz w:val="21"/>
                <w:szCs w:val="21"/>
              </w:rPr>
              <w:t>对小型和微型企业产品的价格给予6%-10%的扣除，用扣除后的价格参与评审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0" w:hRule="atLeast"/>
        </w:trPr>
        <w:tc>
          <w:tcPr>
            <w:tcW w:w="737" w:type="dxa"/>
            <w:vAlign w:val="center"/>
          </w:tcPr>
          <w:p>
            <w:pPr>
              <w:spacing w:line="240" w:lineRule="atLeast"/>
              <w:jc w:val="center"/>
              <w:rPr>
                <w:rFonts w:ascii="方正仿宋_GBK" w:hAnsi="方正仿宋_GBK" w:eastAsia="方正仿宋_GBK" w:cs="方正仿宋_GBK"/>
                <w:color w:val="auto"/>
                <w:sz w:val="21"/>
                <w:szCs w:val="21"/>
              </w:rPr>
            </w:pPr>
          </w:p>
        </w:tc>
        <w:tc>
          <w:tcPr>
            <w:tcW w:w="1106" w:type="dxa"/>
            <w:vMerge w:val="restart"/>
            <w:vAlign w:val="center"/>
          </w:tcPr>
          <w:p>
            <w:pPr>
              <w:spacing w:line="240" w:lineRule="atLeast"/>
              <w:jc w:val="both"/>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服务部分（45%）</w:t>
            </w:r>
          </w:p>
        </w:tc>
        <w:tc>
          <w:tcPr>
            <w:tcW w:w="1276" w:type="dxa"/>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服务内容响应情况（10分）</w:t>
            </w:r>
          </w:p>
        </w:tc>
        <w:tc>
          <w:tcPr>
            <w:tcW w:w="467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有效供应商的起评分为</w:t>
            </w:r>
            <w:r>
              <w:rPr>
                <w:rFonts w:hint="eastAsia" w:ascii="方正仿宋_GBK" w:hAnsi="宋体" w:eastAsia="方正仿宋_GBK" w:cs="宋体"/>
                <w:color w:val="auto"/>
                <w:sz w:val="21"/>
                <w:szCs w:val="21"/>
                <w:lang w:val="en-US" w:eastAsia="zh-CN"/>
              </w:rPr>
              <w:t>10</w:t>
            </w:r>
            <w:r>
              <w:rPr>
                <w:rFonts w:hint="eastAsia" w:ascii="方正仿宋_GBK" w:hAnsi="宋体" w:eastAsia="方正仿宋_GBK" w:cs="宋体"/>
                <w:color w:val="auto"/>
                <w:sz w:val="21"/>
                <w:szCs w:val="21"/>
              </w:rPr>
              <w:t>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B扣分条款：</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eastAsia="宋体"/>
                <w:color w:val="auto"/>
                <w:lang w:val="en-US" w:eastAsia="zh-CN"/>
              </w:rPr>
            </w:pPr>
            <w:r>
              <w:rPr>
                <w:rFonts w:hint="eastAsia" w:ascii="方正仿宋_GBK" w:hAnsi="宋体" w:eastAsia="方正仿宋_GBK" w:cs="宋体"/>
                <w:color w:val="auto"/>
                <w:sz w:val="21"/>
                <w:szCs w:val="21"/>
              </w:rPr>
              <w:t>本</w:t>
            </w:r>
            <w:r>
              <w:rPr>
                <w:rFonts w:hint="eastAsia" w:ascii="方正仿宋_GBK" w:hAnsi="宋体" w:eastAsia="方正仿宋_GBK" w:cs="宋体"/>
                <w:color w:val="auto"/>
                <w:sz w:val="21"/>
                <w:szCs w:val="21"/>
                <w:lang w:val="en-US" w:eastAsia="zh-CN"/>
              </w:rPr>
              <w:t>磋商</w:t>
            </w:r>
            <w:r>
              <w:rPr>
                <w:rFonts w:hint="eastAsia" w:ascii="方正仿宋_GBK" w:hAnsi="宋体" w:eastAsia="方正仿宋_GBK" w:cs="宋体"/>
                <w:color w:val="auto"/>
                <w:sz w:val="21"/>
                <w:szCs w:val="21"/>
              </w:rPr>
              <w:t>文件第二篇中</w:t>
            </w:r>
            <w:r>
              <w:rPr>
                <w:rFonts w:hint="eastAsia" w:ascii="方正仿宋_GBK" w:hAnsi="宋体" w:eastAsia="方正仿宋_GBK" w:cs="宋体"/>
                <w:color w:val="auto"/>
                <w:sz w:val="21"/>
                <w:szCs w:val="21"/>
                <w:lang w:val="en-US" w:eastAsia="zh-CN"/>
              </w:rPr>
              <w:t>服务内容有一条不满足的，扣2分，扣完为止。</w:t>
            </w:r>
          </w:p>
        </w:tc>
        <w:tc>
          <w:tcPr>
            <w:tcW w:w="1701" w:type="dxa"/>
            <w:vAlign w:val="center"/>
          </w:tcPr>
          <w:p>
            <w:pPr>
              <w:snapToGrid w:val="0"/>
              <w:ind w:left="-1" w:leftChars="-1" w:hanging="2" w:hangingChars="1"/>
              <w:rPr>
                <w:rFonts w:hint="eastAsia" w:ascii="方正仿宋_GBK" w:hAnsi="方正仿宋_GBK" w:eastAsia="方正仿宋_GBK" w:cs="方正仿宋_GBK"/>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0" w:hRule="atLeast"/>
        </w:trPr>
        <w:tc>
          <w:tcPr>
            <w:tcW w:w="737" w:type="dxa"/>
            <w:vAlign w:val="center"/>
          </w:tcPr>
          <w:p>
            <w:pPr>
              <w:spacing w:line="240" w:lineRule="atLeast"/>
              <w:jc w:val="center"/>
              <w:rPr>
                <w:rFonts w:ascii="方正仿宋_GBK" w:hAnsi="方正仿宋_GBK" w:eastAsia="方正仿宋_GBK" w:cs="方正仿宋_GBK"/>
                <w:color w:val="auto"/>
                <w:sz w:val="21"/>
                <w:szCs w:val="21"/>
              </w:rPr>
            </w:pPr>
          </w:p>
        </w:tc>
        <w:tc>
          <w:tcPr>
            <w:tcW w:w="1106" w:type="dxa"/>
            <w:vMerge w:val="continue"/>
            <w:vAlign w:val="center"/>
          </w:tcPr>
          <w:p>
            <w:pPr>
              <w:spacing w:line="240" w:lineRule="atLeast"/>
              <w:jc w:val="both"/>
              <w:rPr>
                <w:rFonts w:hint="eastAsia" w:ascii="方正仿宋_GBK" w:hAnsi="方正仿宋_GBK" w:eastAsia="方正仿宋_GBK" w:cs="方正仿宋_GBK"/>
                <w:color w:val="auto"/>
                <w:sz w:val="24"/>
                <w:szCs w:val="24"/>
                <w:lang w:val="en-US" w:eastAsia="zh-CN"/>
              </w:rPr>
            </w:pPr>
          </w:p>
        </w:tc>
        <w:tc>
          <w:tcPr>
            <w:tcW w:w="1276" w:type="dxa"/>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服务能力（10分）</w:t>
            </w:r>
          </w:p>
        </w:tc>
        <w:tc>
          <w:tcPr>
            <w:tcW w:w="4678" w:type="dxa"/>
            <w:tcBorders>
              <w:top w:val="single" w:color="auto" w:sz="4" w:space="0"/>
            </w:tcBorders>
            <w:vAlign w:val="center"/>
          </w:tcPr>
          <w:p>
            <w:pPr>
              <w:snapToGrid w:val="0"/>
              <w:spacing w:line="360" w:lineRule="exact"/>
              <w:rPr>
                <w:rFonts w:hint="eastAsia" w:ascii="方正仿宋_GBK" w:hAnsi="宋体" w:eastAsia="方正仿宋_GBK" w:cs="宋体"/>
                <w:color w:val="auto"/>
                <w:sz w:val="21"/>
                <w:szCs w:val="21"/>
                <w:lang w:val="en-US" w:eastAsia="zh-CN"/>
              </w:rPr>
            </w:pPr>
            <w:r>
              <w:rPr>
                <w:rFonts w:hint="eastAsia" w:ascii="方正仿宋_GBK" w:hAnsi="宋体" w:eastAsia="方正仿宋_GBK" w:cs="宋体"/>
                <w:sz w:val="21"/>
                <w:szCs w:val="21"/>
              </w:rPr>
              <w:t>从事进出口贸易十年以上人员数量达到15人及以上的，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１０分</w:t>
            </w:r>
            <w:r>
              <w:rPr>
                <w:rFonts w:hint="eastAsia" w:ascii="方正仿宋_GBK" w:hAnsi="宋体" w:eastAsia="方正仿宋_GBK" w:cs="宋体"/>
                <w:sz w:val="21"/>
                <w:szCs w:val="21"/>
                <w:lang w:eastAsia="zh-CN"/>
              </w:rPr>
              <w:t>；</w:t>
            </w:r>
            <w:r>
              <w:rPr>
                <w:rFonts w:hint="eastAsia" w:ascii="方正仿宋_GBK" w:hAnsi="宋体" w:eastAsia="方正仿宋_GBK" w:cs="宋体"/>
                <w:sz w:val="21"/>
                <w:szCs w:val="21"/>
              </w:rPr>
              <w:t>从事进出口贸易十年以上人员数量达到1０人，但不足１５人的，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５分</w:t>
            </w:r>
            <w:r>
              <w:rPr>
                <w:rFonts w:hint="eastAsia" w:ascii="方正仿宋_GBK" w:hAnsi="宋体" w:eastAsia="方正仿宋_GBK" w:cs="宋体"/>
                <w:sz w:val="21"/>
                <w:szCs w:val="21"/>
                <w:lang w:eastAsia="zh-CN"/>
              </w:rPr>
              <w:t>；</w:t>
            </w:r>
            <w:r>
              <w:rPr>
                <w:rFonts w:hint="eastAsia" w:ascii="方正仿宋_GBK" w:hAnsi="宋体" w:eastAsia="方正仿宋_GBK" w:cs="宋体"/>
                <w:sz w:val="21"/>
                <w:szCs w:val="21"/>
              </w:rPr>
              <w:t>从事进出口贸易十年以上人员数量达到５人，但不足１０人的，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３分</w:t>
            </w:r>
            <w:r>
              <w:rPr>
                <w:rFonts w:hint="eastAsia" w:ascii="方正仿宋_GBK" w:hAnsi="宋体" w:eastAsia="方正仿宋_GBK" w:cs="宋体"/>
                <w:sz w:val="21"/>
                <w:szCs w:val="21"/>
                <w:lang w:eastAsia="zh-CN"/>
              </w:rPr>
              <w:t>；</w:t>
            </w:r>
            <w:r>
              <w:rPr>
                <w:rFonts w:hint="eastAsia" w:ascii="方正仿宋_GBK" w:eastAsia="方正仿宋_GBK" w:cs="宋体"/>
                <w:sz w:val="21"/>
                <w:szCs w:val="21"/>
              </w:rPr>
              <w:t>从事进出口贸易十年以上人员数量不足５人的，</w:t>
            </w:r>
            <w:r>
              <w:rPr>
                <w:rFonts w:hint="eastAsia" w:ascii="方正仿宋_GBK" w:eastAsia="方正仿宋_GBK" w:cs="宋体"/>
                <w:sz w:val="21"/>
                <w:szCs w:val="21"/>
                <w:lang w:val="en-US" w:eastAsia="zh-CN"/>
              </w:rPr>
              <w:t>得</w:t>
            </w:r>
            <w:r>
              <w:rPr>
                <w:rFonts w:hint="eastAsia" w:ascii="方正仿宋_GBK" w:eastAsia="方正仿宋_GBK" w:cs="宋体"/>
                <w:sz w:val="21"/>
                <w:szCs w:val="21"/>
              </w:rPr>
              <w:t>０分</w:t>
            </w:r>
            <w:r>
              <w:rPr>
                <w:rFonts w:hint="eastAsia" w:ascii="方正仿宋_GBK" w:eastAsia="方正仿宋_GBK" w:cs="宋体"/>
                <w:sz w:val="21"/>
                <w:szCs w:val="21"/>
                <w:lang w:eastAsia="zh-CN"/>
              </w:rPr>
              <w:t>。</w:t>
            </w:r>
          </w:p>
        </w:tc>
        <w:tc>
          <w:tcPr>
            <w:tcW w:w="1701" w:type="dxa"/>
            <w:vAlign w:val="center"/>
          </w:tcPr>
          <w:p>
            <w:pPr>
              <w:snapToGrid w:val="0"/>
              <w:spacing w:line="360" w:lineRule="exact"/>
              <w:rPr>
                <w:rFonts w:hint="eastAsia" w:ascii="方正仿宋_GBK" w:hAnsi="宋体" w:eastAsia="方正仿宋_GBK" w:cs="宋体"/>
                <w:sz w:val="21"/>
                <w:szCs w:val="21"/>
              </w:rPr>
            </w:pPr>
            <w:r>
              <w:rPr>
                <w:rFonts w:hint="eastAsia" w:ascii="方正仿宋_GBK" w:hAnsi="宋体" w:eastAsia="方正仿宋_GBK" w:cs="宋体"/>
                <w:sz w:val="21"/>
                <w:szCs w:val="21"/>
                <w:lang w:val="en-US" w:eastAsia="zh-CN"/>
              </w:rPr>
              <w:t>1.</w:t>
            </w:r>
            <w:r>
              <w:rPr>
                <w:rFonts w:hint="eastAsia" w:ascii="方正仿宋_GBK" w:hAnsi="宋体" w:eastAsia="方正仿宋_GBK" w:cs="宋体"/>
                <w:sz w:val="21"/>
                <w:szCs w:val="21"/>
              </w:rPr>
              <w:t>提供单位参保证明</w:t>
            </w:r>
            <w:r>
              <w:rPr>
                <w:rFonts w:hint="eastAsia" w:ascii="方正仿宋_GBK" w:hAnsi="宋体" w:eastAsia="方正仿宋_GBK" w:cs="宋体"/>
                <w:sz w:val="21"/>
                <w:szCs w:val="21"/>
                <w:lang w:val="en-US" w:eastAsia="zh-CN"/>
              </w:rPr>
              <w:t>复印件</w:t>
            </w:r>
            <w:r>
              <w:rPr>
                <w:rFonts w:hint="eastAsia" w:ascii="方正仿宋_GBK" w:hAnsi="宋体" w:eastAsia="方正仿宋_GBK" w:cs="宋体"/>
                <w:sz w:val="21"/>
                <w:szCs w:val="21"/>
                <w:lang w:eastAsia="zh-CN"/>
              </w:rPr>
              <w:t>；</w:t>
            </w:r>
          </w:p>
          <w:p>
            <w:pPr>
              <w:snapToGrid w:val="0"/>
              <w:spacing w:line="360" w:lineRule="exact"/>
              <w:rPr>
                <w:rFonts w:hint="eastAsia" w:eastAsia="仿宋_GB2312"/>
                <w:lang w:val="en-US" w:eastAsia="zh-CN"/>
              </w:rPr>
            </w:pPr>
            <w:r>
              <w:rPr>
                <w:rFonts w:hint="eastAsia" w:ascii="方正仿宋_GBK" w:hAnsi="宋体" w:eastAsia="方正仿宋_GBK" w:cs="宋体"/>
                <w:sz w:val="21"/>
                <w:szCs w:val="21"/>
                <w:lang w:val="en-US" w:eastAsia="zh-CN"/>
              </w:rPr>
              <w:t>2.提供上述人员用工合同复印件并</w:t>
            </w:r>
            <w:r>
              <w:rPr>
                <w:rFonts w:hint="eastAsia" w:ascii="方正仿宋_GBK" w:hAnsi="宋体" w:eastAsia="方正仿宋_GBK" w:cs="宋体"/>
                <w:sz w:val="21"/>
                <w:szCs w:val="21"/>
              </w:rPr>
              <w:t>并加盖公章（原件备查）</w:t>
            </w:r>
            <w:r>
              <w:rPr>
                <w:rFonts w:hint="eastAsia" w:ascii="方正仿宋_GBK" w:hAnsi="宋体" w:eastAsia="方正仿宋_GBK"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0" w:hRule="atLeast"/>
        </w:trPr>
        <w:tc>
          <w:tcPr>
            <w:tcW w:w="737" w:type="dxa"/>
            <w:vAlign w:val="center"/>
          </w:tcPr>
          <w:p>
            <w:pPr>
              <w:spacing w:line="240" w:lineRule="atLeast"/>
              <w:jc w:val="center"/>
              <w:rPr>
                <w:rFonts w:ascii="方正仿宋_GBK" w:hAnsi="方正仿宋_GBK" w:eastAsia="方正仿宋_GBK" w:cs="方正仿宋_GBK"/>
                <w:color w:val="auto"/>
                <w:sz w:val="21"/>
                <w:szCs w:val="21"/>
              </w:rPr>
            </w:pPr>
          </w:p>
        </w:tc>
        <w:tc>
          <w:tcPr>
            <w:tcW w:w="1106" w:type="dxa"/>
            <w:vMerge w:val="continue"/>
            <w:vAlign w:val="center"/>
          </w:tcPr>
          <w:p>
            <w:pPr>
              <w:spacing w:line="240" w:lineRule="atLeast"/>
              <w:jc w:val="both"/>
              <w:rPr>
                <w:rFonts w:hint="eastAsia" w:ascii="方正仿宋_GBK" w:hAnsi="方正仿宋_GBK" w:eastAsia="方正仿宋_GBK" w:cs="方正仿宋_GBK"/>
                <w:color w:val="auto"/>
                <w:sz w:val="24"/>
                <w:szCs w:val="24"/>
                <w:lang w:val="en-US" w:eastAsia="zh-CN"/>
              </w:rPr>
            </w:pPr>
          </w:p>
        </w:tc>
        <w:tc>
          <w:tcPr>
            <w:tcW w:w="1276" w:type="dxa"/>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服务方案（25分）</w:t>
            </w:r>
          </w:p>
        </w:tc>
        <w:tc>
          <w:tcPr>
            <w:tcW w:w="467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宋体" w:eastAsia="方正仿宋_GBK" w:cs="宋体"/>
                <w:color w:val="auto"/>
                <w:sz w:val="21"/>
                <w:szCs w:val="21"/>
                <w:lang w:val="en-US" w:eastAsia="zh-CN"/>
              </w:rPr>
            </w:pPr>
            <w:r>
              <w:rPr>
                <w:rFonts w:hint="eastAsia" w:ascii="方正仿宋_GBK" w:hAnsi="宋体" w:eastAsia="方正仿宋_GBK" w:cs="宋体"/>
                <w:sz w:val="21"/>
                <w:szCs w:val="21"/>
              </w:rPr>
              <w:t>1.方案完善、人员配置充足、响应及时、针对性强、计划安排合理最优者</w:t>
            </w:r>
            <w:r>
              <w:rPr>
                <w:rFonts w:hint="eastAsia" w:ascii="方正仿宋_GBK" w:hAnsi="宋体" w:eastAsia="方正仿宋_GBK" w:cs="宋体"/>
                <w:sz w:val="21"/>
                <w:szCs w:val="21"/>
                <w:lang w:eastAsia="zh-CN"/>
              </w:rPr>
              <w:t>，</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２５分;</w:t>
            </w:r>
            <w:r>
              <w:rPr>
                <w:rFonts w:hint="eastAsia" w:ascii="方正仿宋_GBK" w:hAnsi="宋体" w:eastAsia="方正仿宋_GBK" w:cs="宋体"/>
                <w:sz w:val="21"/>
                <w:szCs w:val="21"/>
              </w:rPr>
              <w:br w:type="textWrapping"/>
            </w:r>
            <w:r>
              <w:rPr>
                <w:rFonts w:hint="eastAsia" w:ascii="方正仿宋_GBK" w:hAnsi="宋体" w:eastAsia="方正仿宋_GBK" w:cs="宋体"/>
                <w:sz w:val="21"/>
                <w:szCs w:val="21"/>
              </w:rPr>
              <w:t>2.方案较完善、人员配置较充足、响应较及时、针对性较强、计划和安排较合理的，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１５分;</w:t>
            </w:r>
            <w:r>
              <w:rPr>
                <w:rFonts w:hint="eastAsia" w:ascii="方正仿宋_GBK" w:hAnsi="宋体" w:eastAsia="方正仿宋_GBK" w:cs="宋体"/>
                <w:sz w:val="21"/>
                <w:szCs w:val="21"/>
              </w:rPr>
              <w:br w:type="textWrapping"/>
            </w:r>
            <w:r>
              <w:rPr>
                <w:rFonts w:hint="eastAsia" w:ascii="方正仿宋_GBK" w:hAnsi="宋体" w:eastAsia="方正仿宋_GBK" w:cs="宋体"/>
                <w:sz w:val="21"/>
                <w:szCs w:val="21"/>
              </w:rPr>
              <w:t>3.方案不够完善、人员配置不充足、响应不够及时、针对性较弱、计划和安排不够合理</w:t>
            </w:r>
            <w:r>
              <w:rPr>
                <w:rFonts w:hint="eastAsia" w:ascii="方正仿宋_GBK" w:hAnsi="宋体" w:eastAsia="方正仿宋_GBK" w:cs="宋体"/>
                <w:sz w:val="21"/>
                <w:szCs w:val="21"/>
                <w:lang w:eastAsia="zh-CN"/>
              </w:rPr>
              <w:t>，</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５分</w:t>
            </w:r>
            <w:r>
              <w:rPr>
                <w:rFonts w:hint="eastAsia" w:ascii="方正仿宋_GBK" w:hAnsi="宋体" w:eastAsia="方正仿宋_GBK" w:cs="宋体"/>
                <w:sz w:val="21"/>
                <w:szCs w:val="21"/>
              </w:rPr>
              <w:br w:type="textWrapping"/>
            </w:r>
            <w:r>
              <w:rPr>
                <w:rFonts w:hint="eastAsia" w:ascii="方正仿宋_GBK" w:hAnsi="宋体" w:eastAsia="方正仿宋_GBK" w:cs="宋体"/>
                <w:sz w:val="21"/>
                <w:szCs w:val="21"/>
              </w:rPr>
              <w:t>4.未提供</w:t>
            </w:r>
            <w:r>
              <w:rPr>
                <w:rFonts w:hint="eastAsia" w:ascii="方正仿宋_GBK" w:hAnsi="宋体" w:eastAsia="方正仿宋_GBK" w:cs="宋体"/>
                <w:sz w:val="21"/>
                <w:szCs w:val="21"/>
                <w:lang w:val="en-US" w:eastAsia="zh-CN"/>
              </w:rPr>
              <w:t>方案</w:t>
            </w:r>
            <w:r>
              <w:rPr>
                <w:rFonts w:hint="eastAsia" w:ascii="方正仿宋_GBK" w:hAnsi="宋体" w:eastAsia="方正仿宋_GBK" w:cs="宋体"/>
                <w:sz w:val="21"/>
                <w:szCs w:val="21"/>
              </w:rPr>
              <w:t>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0分</w:t>
            </w:r>
          </w:p>
        </w:tc>
        <w:tc>
          <w:tcPr>
            <w:tcW w:w="1701" w:type="dxa"/>
            <w:vAlign w:val="center"/>
          </w:tcPr>
          <w:p>
            <w:pPr>
              <w:snapToGrid w:val="0"/>
              <w:ind w:left="-1" w:leftChars="-1" w:hanging="2" w:hangingChars="1"/>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提供服务方案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9498" w:type="dxa"/>
            <w:gridSpan w:val="5"/>
            <w:tcBorders>
              <w:top w:val="single" w:color="auto" w:sz="4" w:space="0"/>
            </w:tcBorders>
            <w:vAlign w:val="center"/>
          </w:tcPr>
          <w:p>
            <w:pPr>
              <w:snapToGrid w:val="0"/>
              <w:ind w:left="-1" w:leftChars="-1" w:hanging="2" w:hangingChars="1"/>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供应商的应答应满足磋商文件“第三篇采购商务需求”，</w:t>
            </w:r>
            <w:r>
              <w:rPr>
                <w:rFonts w:hint="eastAsia" w:ascii="方正仿宋_GBK" w:hAnsi="方正仿宋_GBK" w:eastAsia="方正仿宋_GBK" w:cs="方正仿宋_GBK"/>
                <w:color w:val="auto"/>
                <w:sz w:val="21"/>
                <w:szCs w:val="21"/>
                <w:lang w:val="en-US" w:eastAsia="zh-CN"/>
              </w:rPr>
              <w:t>服务</w:t>
            </w:r>
            <w:r>
              <w:rPr>
                <w:rFonts w:hint="eastAsia" w:ascii="方正仿宋_GBK" w:hAnsi="方正仿宋_GBK" w:eastAsia="方正仿宋_GBK" w:cs="方正仿宋_GBK"/>
                <w:color w:val="auto"/>
                <w:sz w:val="21"/>
                <w:szCs w:val="21"/>
              </w:rPr>
              <w:t>时间、地点、付款方式等不满足磋商文件要求的为无效响应，其它商务要求有一条不满足的，商务部分得分为0分，不再进入商务部分的评审。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trPr>
        <w:tc>
          <w:tcPr>
            <w:tcW w:w="737" w:type="dxa"/>
            <w:vMerge w:val="restart"/>
            <w:vAlign w:val="center"/>
          </w:tcPr>
          <w:p>
            <w:pPr>
              <w:spacing w:line="240" w:lineRule="atLeast"/>
              <w:jc w:val="center"/>
              <w:rPr>
                <w:rFonts w:ascii="方正仿宋_GBK" w:hAnsi="方正仿宋_GBK" w:eastAsia="方正仿宋_GBK" w:cs="方正仿宋_GBK"/>
                <w:color w:val="auto"/>
                <w:sz w:val="21"/>
                <w:szCs w:val="21"/>
              </w:rPr>
            </w:pPr>
          </w:p>
        </w:tc>
        <w:tc>
          <w:tcPr>
            <w:tcW w:w="110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both"/>
              <w:textAlignment w:val="auto"/>
              <w:outlineLvl w:val="9"/>
              <w:rPr>
                <w:color w:val="auto"/>
              </w:rPr>
            </w:pPr>
            <w:r>
              <w:rPr>
                <w:rFonts w:hint="eastAsia" w:ascii="方正仿宋_GBK" w:hAnsi="方正仿宋_GBK" w:eastAsia="方正仿宋_GBK" w:cs="方正仿宋_GBK"/>
                <w:color w:val="auto"/>
                <w:sz w:val="24"/>
                <w:szCs w:val="24"/>
              </w:rPr>
              <w:t>商务</w:t>
            </w:r>
            <w:r>
              <w:rPr>
                <w:rFonts w:hint="eastAsia" w:ascii="方正仿宋_GBK" w:hAnsi="方正仿宋_GBK" w:eastAsia="方正仿宋_GBK" w:cs="方正仿宋_GBK"/>
                <w:color w:val="auto"/>
                <w:sz w:val="24"/>
                <w:szCs w:val="24"/>
                <w:lang w:val="en-US" w:eastAsia="zh-CN"/>
              </w:rPr>
              <w:t>部分</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45</w:t>
            </w:r>
            <w:r>
              <w:rPr>
                <w:rFonts w:hint="eastAsia" w:ascii="方正仿宋_GBK" w:hAnsi="方正仿宋_GBK" w:eastAsia="方正仿宋_GBK" w:cs="方正仿宋_GBK"/>
                <w:color w:val="auto"/>
                <w:sz w:val="24"/>
                <w:szCs w:val="24"/>
              </w:rPr>
              <w:t>%）</w:t>
            </w:r>
          </w:p>
        </w:tc>
        <w:tc>
          <w:tcPr>
            <w:tcW w:w="1276" w:type="dxa"/>
            <w:vMerge w:val="restart"/>
            <w:vAlign w:val="center"/>
          </w:tcPr>
          <w:p>
            <w:pPr>
              <w:snapToGrid w:val="0"/>
              <w:spacing w:line="400" w:lineRule="exact"/>
              <w:jc w:val="center"/>
              <w:rPr>
                <w:rFonts w:hint="eastAsia" w:ascii="方正仿宋_GBK" w:hAnsi="宋体" w:eastAsia="方正仿宋_GBK" w:cs="宋体"/>
                <w:color w:val="auto"/>
                <w:sz w:val="24"/>
                <w:szCs w:val="24"/>
              </w:rPr>
            </w:pPr>
            <w:r>
              <w:rPr>
                <w:rFonts w:hint="eastAsia" w:ascii="方正仿宋_GBK" w:hAnsi="宋体" w:eastAsia="方正仿宋_GBK" w:cs="宋体"/>
                <w:color w:val="auto"/>
                <w:sz w:val="24"/>
                <w:szCs w:val="24"/>
              </w:rPr>
              <w:t>公司实力</w:t>
            </w:r>
          </w:p>
          <w:p>
            <w:pPr>
              <w:snapToGrid w:val="0"/>
              <w:jc w:val="center"/>
              <w:rPr>
                <w:rFonts w:ascii="方正仿宋_GBK" w:hAnsi="方正仿宋_GBK" w:eastAsia="方正仿宋_GBK" w:cs="方正仿宋_GBK"/>
                <w:color w:val="auto"/>
                <w:sz w:val="21"/>
                <w:szCs w:val="21"/>
              </w:rPr>
            </w:pPr>
            <w:r>
              <w:rPr>
                <w:rFonts w:hint="eastAsia" w:ascii="方正仿宋_GBK" w:hAnsi="宋体" w:eastAsia="方正仿宋_GBK" w:cs="宋体"/>
                <w:color w:val="auto"/>
                <w:sz w:val="24"/>
                <w:szCs w:val="24"/>
              </w:rPr>
              <w:t>（</w:t>
            </w:r>
            <w:r>
              <w:rPr>
                <w:rFonts w:hint="eastAsia" w:ascii="方正仿宋_GBK" w:hAnsi="宋体" w:eastAsia="方正仿宋_GBK" w:cs="宋体"/>
                <w:color w:val="auto"/>
                <w:sz w:val="24"/>
                <w:szCs w:val="24"/>
                <w:lang w:val="en-US" w:eastAsia="zh-CN"/>
              </w:rPr>
              <w:t>15</w:t>
            </w:r>
            <w:r>
              <w:rPr>
                <w:rFonts w:hint="eastAsia" w:ascii="方正仿宋_GBK" w:hAnsi="宋体" w:eastAsia="方正仿宋_GBK" w:cs="宋体"/>
                <w:color w:val="auto"/>
                <w:sz w:val="24"/>
                <w:szCs w:val="24"/>
              </w:rPr>
              <w:t>%）</w:t>
            </w:r>
          </w:p>
        </w:tc>
        <w:tc>
          <w:tcPr>
            <w:tcW w:w="467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宋体" w:eastAsia="方正仿宋_GBK" w:cs="宋体"/>
                <w:color w:val="auto"/>
                <w:sz w:val="21"/>
                <w:szCs w:val="21"/>
                <w:lang w:val="en-US" w:eastAsia="zh-CN"/>
              </w:rPr>
              <w:t>1.</w:t>
            </w:r>
            <w:r>
              <w:rPr>
                <w:rFonts w:hint="eastAsia" w:ascii="方正仿宋_GBK" w:hAnsi="宋体" w:eastAsia="方正仿宋_GBK" w:cs="宋体"/>
                <w:color w:val="auto"/>
                <w:sz w:val="21"/>
                <w:szCs w:val="21"/>
              </w:rPr>
              <w:t>具备AEO企业认证证书且认证企业类型为高级认证企业的</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lang w:val="en-US" w:eastAsia="zh-CN"/>
              </w:rPr>
              <w:t>得2</w:t>
            </w:r>
            <w:r>
              <w:rPr>
                <w:rFonts w:hint="eastAsia" w:ascii="方正仿宋_GBK" w:hAnsi="宋体" w:eastAsia="方正仿宋_GBK" w:cs="宋体"/>
                <w:color w:val="auto"/>
                <w:sz w:val="21"/>
                <w:szCs w:val="21"/>
              </w:rPr>
              <w:t>分</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不具备或认证企业类型不是高级认证的</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lang w:val="en-US" w:eastAsia="zh-CN"/>
              </w:rPr>
              <w:t>得</w:t>
            </w:r>
            <w:r>
              <w:rPr>
                <w:rFonts w:hint="eastAsia" w:ascii="方正仿宋_GBK" w:hAnsi="宋体" w:eastAsia="方正仿宋_GBK" w:cs="宋体"/>
                <w:color w:val="auto"/>
                <w:sz w:val="21"/>
                <w:szCs w:val="21"/>
              </w:rPr>
              <w:t>0分。</w:t>
            </w:r>
          </w:p>
        </w:tc>
        <w:tc>
          <w:tcPr>
            <w:tcW w:w="1701" w:type="dxa"/>
            <w:vAlign w:val="center"/>
          </w:tcPr>
          <w:p>
            <w:pPr>
              <w:snapToGrid w:val="0"/>
              <w:ind w:left="-1" w:leftChars="-1" w:hanging="2" w:hangingChars="1"/>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须提供外贸代理合同复印件或其他相关证明材料。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1276" w:type="dxa"/>
            <w:vMerge w:val="continue"/>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467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宋体" w:eastAsia="方正仿宋_GBK" w:cs="宋体"/>
                <w:color w:val="auto"/>
                <w:sz w:val="21"/>
                <w:szCs w:val="21"/>
                <w:lang w:val="en-US" w:eastAsia="zh-CN"/>
              </w:rPr>
            </w:pPr>
            <w:r>
              <w:rPr>
                <w:rFonts w:hint="eastAsia" w:ascii="方正仿宋_GBK" w:hAnsi="宋体" w:eastAsia="方正仿宋_GBK" w:cs="宋体"/>
                <w:color w:val="auto"/>
                <w:sz w:val="21"/>
                <w:szCs w:val="21"/>
                <w:lang w:val="en-US" w:eastAsia="zh-CN"/>
              </w:rPr>
              <w:t>2.</w:t>
            </w:r>
            <w:r>
              <w:rPr>
                <w:rFonts w:hint="eastAsia" w:ascii="方正仿宋_GBK" w:hAnsi="宋体" w:eastAsia="方正仿宋_GBK" w:cs="宋体"/>
                <w:color w:val="auto"/>
                <w:sz w:val="21"/>
                <w:szCs w:val="21"/>
              </w:rPr>
              <w:t>具备近五年内获得</w:t>
            </w:r>
            <w:r>
              <w:rPr>
                <w:rFonts w:hint="eastAsia" w:ascii="方正仿宋_GBK" w:hAnsi="宋体" w:eastAsia="方正仿宋_GBK" w:cs="宋体"/>
                <w:color w:val="auto"/>
                <w:sz w:val="21"/>
                <w:szCs w:val="21"/>
                <w:lang w:val="en-US" w:eastAsia="zh-CN"/>
              </w:rPr>
              <w:t>5</w:t>
            </w:r>
            <w:r>
              <w:rPr>
                <w:rFonts w:hint="eastAsia" w:ascii="方正仿宋_GBK" w:hAnsi="宋体" w:eastAsia="方正仿宋_GBK" w:cs="宋体"/>
                <w:color w:val="auto"/>
                <w:sz w:val="21"/>
                <w:szCs w:val="21"/>
              </w:rPr>
              <w:t>次纳税A级企业证书的</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lang w:val="en-US" w:eastAsia="zh-CN"/>
              </w:rPr>
              <w:t>得</w:t>
            </w:r>
            <w:r>
              <w:rPr>
                <w:rFonts w:hint="eastAsia" w:ascii="方正仿宋_GBK" w:hAnsi="宋体" w:eastAsia="方正仿宋_GBK" w:cs="宋体"/>
                <w:color w:val="auto"/>
                <w:sz w:val="21"/>
                <w:szCs w:val="21"/>
              </w:rPr>
              <w:t>10分</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近五年内获得3次纳税A级企业证书的</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lang w:val="en-US" w:eastAsia="zh-CN"/>
              </w:rPr>
              <w:t>得</w:t>
            </w:r>
            <w:r>
              <w:rPr>
                <w:rFonts w:hint="eastAsia" w:ascii="方正仿宋_GBK" w:hAnsi="宋体" w:eastAsia="方正仿宋_GBK" w:cs="宋体"/>
                <w:color w:val="auto"/>
                <w:sz w:val="21"/>
                <w:szCs w:val="21"/>
              </w:rPr>
              <w:t>5分；近五年内获得一次纳税A级企业证书的</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lang w:val="en-US" w:eastAsia="zh-CN"/>
              </w:rPr>
              <w:t>得</w:t>
            </w:r>
            <w:r>
              <w:rPr>
                <w:rFonts w:hint="eastAsia" w:ascii="方正仿宋_GBK" w:hAnsi="宋体" w:eastAsia="方正仿宋_GBK" w:cs="宋体"/>
                <w:color w:val="auto"/>
                <w:sz w:val="21"/>
                <w:szCs w:val="21"/>
              </w:rPr>
              <w:t>1分</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未获得的</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lang w:val="en-US" w:eastAsia="zh-CN"/>
              </w:rPr>
              <w:t>得</w:t>
            </w:r>
            <w:r>
              <w:rPr>
                <w:rFonts w:hint="eastAsia" w:ascii="方正仿宋_GBK" w:hAnsi="宋体" w:eastAsia="方正仿宋_GBK" w:cs="宋体"/>
                <w:color w:val="auto"/>
                <w:sz w:val="21"/>
                <w:szCs w:val="21"/>
              </w:rPr>
              <w:t>0分。</w:t>
            </w:r>
          </w:p>
        </w:tc>
        <w:tc>
          <w:tcPr>
            <w:tcW w:w="1701" w:type="dxa"/>
            <w:vAlign w:val="center"/>
          </w:tcPr>
          <w:p>
            <w:pPr>
              <w:snapToGrid w:val="0"/>
              <w:ind w:left="-1" w:leftChars="-1" w:hanging="2" w:hangingChars="1"/>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须提供证书复印件或网页截图并加盖公章；若提供网页截图，则截图上应体现纳税所在地税务部门的公章或电子章(原件备查）。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1276" w:type="dxa"/>
            <w:vMerge w:val="continue"/>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467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宋体" w:eastAsia="方正仿宋_GBK" w:cs="宋体"/>
                <w:color w:val="auto"/>
                <w:sz w:val="21"/>
                <w:szCs w:val="21"/>
                <w:lang w:val="en-US" w:eastAsia="zh-CN"/>
              </w:rPr>
            </w:pPr>
            <w:r>
              <w:rPr>
                <w:rFonts w:hint="eastAsia" w:ascii="方正仿宋_GBK" w:hAnsi="宋体" w:eastAsia="方正仿宋_GBK" w:cs="宋体"/>
                <w:sz w:val="21"/>
                <w:szCs w:val="21"/>
                <w:lang w:val="en-US" w:eastAsia="zh-CN"/>
              </w:rPr>
              <w:t>3.</w:t>
            </w:r>
            <w:r>
              <w:rPr>
                <w:rFonts w:hint="eastAsia" w:ascii="方正仿宋_GBK" w:hAnsi="宋体" w:eastAsia="方正仿宋_GBK" w:cs="宋体"/>
                <w:sz w:val="21"/>
                <w:szCs w:val="21"/>
              </w:rPr>
              <w:t>具备医疗器械经营许可证的，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２分；不具备，计０分。</w:t>
            </w:r>
          </w:p>
        </w:tc>
        <w:tc>
          <w:tcPr>
            <w:tcW w:w="1701" w:type="dxa"/>
            <w:vAlign w:val="center"/>
          </w:tcPr>
          <w:p>
            <w:pPr>
              <w:snapToGrid w:val="0"/>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提供证明材料复印件</w:t>
            </w:r>
            <w:r>
              <w:rPr>
                <w:rFonts w:hint="eastAsia" w:ascii="方正仿宋_GBK" w:hAnsi="方正仿宋_GBK" w:eastAsia="方正仿宋_GBK" w:cs="方正仿宋_GBK"/>
                <w:color w:val="auto"/>
                <w:sz w:val="21"/>
                <w:szCs w:val="21"/>
              </w:rPr>
              <w:t>并加盖</w:t>
            </w:r>
            <w:r>
              <w:rPr>
                <w:rFonts w:hint="eastAsia" w:ascii="方正仿宋_GBK" w:hAnsi="宋体" w:eastAsia="方正仿宋_GBK" w:cs="宋体"/>
                <w:color w:val="auto"/>
                <w:sz w:val="21"/>
                <w:szCs w:val="21"/>
              </w:rPr>
              <w:t>企业鲜章</w:t>
            </w:r>
            <w:r>
              <w:rPr>
                <w:rFonts w:hint="eastAsia" w:ascii="方正仿宋_GBK" w:hAnsi="方正仿宋_GBK" w:eastAsia="方正仿宋_GBK" w:cs="方正仿宋_GBK"/>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trPr>
        <w:tc>
          <w:tcPr>
            <w:tcW w:w="73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11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1276" w:type="dxa"/>
            <w:vMerge w:val="continue"/>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pPr>
          </w:p>
        </w:tc>
        <w:tc>
          <w:tcPr>
            <w:tcW w:w="467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方正仿宋_GBK" w:hAnsi="宋体" w:eastAsia="方正仿宋_GBK" w:cs="宋体"/>
                <w:sz w:val="21"/>
                <w:szCs w:val="21"/>
                <w:lang w:val="en-US" w:eastAsia="zh-CN"/>
              </w:rPr>
            </w:pPr>
            <w:r>
              <w:rPr>
                <w:rFonts w:hint="eastAsia" w:ascii="方正仿宋_GBK" w:hAnsi="宋体" w:eastAsia="方正仿宋_GBK" w:cs="宋体"/>
                <w:sz w:val="21"/>
                <w:szCs w:val="21"/>
              </w:rPr>
              <w:t>4.</w:t>
            </w:r>
            <w:r>
              <w:rPr>
                <w:rFonts w:hint="eastAsia" w:ascii="方正仿宋_GBK" w:hAnsi="宋体" w:eastAsia="方正仿宋_GBK" w:cs="宋体"/>
                <w:sz w:val="21"/>
                <w:szCs w:val="21"/>
                <w:lang w:val="en-US" w:eastAsia="zh-CN"/>
              </w:rPr>
              <w:t>公司从事</w:t>
            </w:r>
            <w:r>
              <w:rPr>
                <w:rFonts w:hint="eastAsia" w:ascii="方正仿宋_GBK" w:hAnsi="宋体" w:eastAsia="方正仿宋_GBK" w:cs="宋体"/>
                <w:sz w:val="21"/>
                <w:szCs w:val="21"/>
              </w:rPr>
              <w:t>代理工作年限20年及以上</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1分；</w:t>
            </w:r>
            <w:r>
              <w:rPr>
                <w:rFonts w:hint="eastAsia" w:ascii="方正仿宋_GBK" w:hAnsi="宋体" w:eastAsia="方正仿宋_GBK" w:cs="宋体"/>
                <w:color w:val="auto"/>
                <w:sz w:val="21"/>
                <w:szCs w:val="21"/>
              </w:rPr>
              <w:t>1年以上</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20年以下</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0.5分；</w:t>
            </w:r>
            <w:r>
              <w:rPr>
                <w:rFonts w:hint="eastAsia" w:ascii="方正仿宋_GBK" w:hAnsi="宋体" w:eastAsia="方正仿宋_GBK" w:cs="宋体"/>
                <w:sz w:val="21"/>
                <w:szCs w:val="21"/>
                <w:lang w:val="en-US" w:eastAsia="zh-CN"/>
              </w:rPr>
              <w:t>未提供</w:t>
            </w:r>
            <w:r>
              <w:rPr>
                <w:rFonts w:hint="eastAsia" w:ascii="方正仿宋_GBK" w:hAnsi="宋体" w:eastAsia="方正仿宋_GBK" w:cs="宋体"/>
                <w:sz w:val="21"/>
                <w:szCs w:val="21"/>
              </w:rPr>
              <w:t>的，</w:t>
            </w:r>
            <w:r>
              <w:rPr>
                <w:rFonts w:hint="eastAsia" w:ascii="方正仿宋_GBK" w:hAnsi="宋体" w:eastAsia="方正仿宋_GBK" w:cs="宋体"/>
                <w:sz w:val="21"/>
                <w:szCs w:val="21"/>
                <w:lang w:val="en-US" w:eastAsia="zh-CN"/>
              </w:rPr>
              <w:t>得</w:t>
            </w:r>
            <w:r>
              <w:rPr>
                <w:rFonts w:hint="eastAsia" w:ascii="方正仿宋_GBK" w:hAnsi="宋体" w:eastAsia="方正仿宋_GBK" w:cs="宋体"/>
                <w:sz w:val="21"/>
                <w:szCs w:val="21"/>
              </w:rPr>
              <w:t>0分</w:t>
            </w:r>
          </w:p>
        </w:tc>
        <w:tc>
          <w:tcPr>
            <w:tcW w:w="1701" w:type="dxa"/>
            <w:vAlign w:val="center"/>
          </w:tcPr>
          <w:p>
            <w:pPr>
              <w:snapToGrid w:val="0"/>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提供证明材料复印件</w:t>
            </w:r>
            <w:r>
              <w:rPr>
                <w:rFonts w:hint="eastAsia" w:ascii="方正仿宋_GBK" w:hAnsi="方正仿宋_GBK" w:eastAsia="方正仿宋_GBK" w:cs="方正仿宋_GBK"/>
                <w:color w:val="auto"/>
                <w:sz w:val="21"/>
                <w:szCs w:val="21"/>
              </w:rPr>
              <w:t>并加盖公章</w:t>
            </w:r>
            <w:r>
              <w:rPr>
                <w:rFonts w:hint="eastAsia" w:ascii="方正仿宋_GBK" w:hAnsi="方正仿宋_GBK" w:eastAsia="方正仿宋_GBK" w:cs="方正仿宋_GBK"/>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737" w:type="dxa"/>
            <w:vMerge w:val="continue"/>
            <w:vAlign w:val="center"/>
          </w:tcPr>
          <w:p>
            <w:pPr>
              <w:spacing w:line="240" w:lineRule="atLeast"/>
              <w:jc w:val="center"/>
              <w:rPr>
                <w:rFonts w:ascii="方正仿宋_GBK" w:hAnsi="方正仿宋_GBK" w:eastAsia="方正仿宋_GBK" w:cs="方正仿宋_GBK"/>
                <w:color w:val="auto"/>
                <w:sz w:val="21"/>
                <w:szCs w:val="21"/>
              </w:rPr>
            </w:pPr>
          </w:p>
        </w:tc>
        <w:tc>
          <w:tcPr>
            <w:tcW w:w="1106" w:type="dxa"/>
            <w:vMerge w:val="continue"/>
            <w:vAlign w:val="center"/>
          </w:tcPr>
          <w:p>
            <w:pPr>
              <w:spacing w:line="240" w:lineRule="atLeast"/>
              <w:rPr>
                <w:rFonts w:ascii="方正仿宋_GBK" w:hAnsi="方正仿宋_GBK" w:eastAsia="方正仿宋_GBK" w:cs="方正仿宋_GBK"/>
                <w:color w:val="auto"/>
                <w:sz w:val="21"/>
                <w:szCs w:val="21"/>
              </w:rPr>
            </w:pPr>
          </w:p>
        </w:tc>
        <w:tc>
          <w:tcPr>
            <w:tcW w:w="1276" w:type="dxa"/>
            <w:vMerge w:val="restart"/>
            <w:vAlign w:val="center"/>
          </w:tcPr>
          <w:p>
            <w:pPr>
              <w:snapToGrid w:val="0"/>
              <w:spacing w:line="400" w:lineRule="exact"/>
              <w:jc w:val="center"/>
              <w:rPr>
                <w:rFonts w:hint="eastAsia" w:ascii="方正仿宋_GBK" w:hAnsi="宋体" w:eastAsia="方正仿宋_GBK" w:cs="宋体"/>
                <w:color w:val="auto"/>
                <w:sz w:val="24"/>
                <w:szCs w:val="24"/>
              </w:rPr>
            </w:pPr>
            <w:r>
              <w:rPr>
                <w:rFonts w:hint="eastAsia" w:ascii="方正仿宋_GBK" w:hAnsi="宋体" w:eastAsia="方正仿宋_GBK" w:cs="宋体"/>
                <w:color w:val="auto"/>
                <w:sz w:val="24"/>
                <w:szCs w:val="24"/>
              </w:rPr>
              <w:t>业绩</w:t>
            </w:r>
          </w:p>
          <w:p>
            <w:pPr>
              <w:ind w:left="-38"/>
              <w:jc w:val="center"/>
              <w:rPr>
                <w:rFonts w:ascii="方正仿宋_GBK" w:hAnsi="方正仿宋_GBK" w:eastAsia="方正仿宋_GBK" w:cs="方正仿宋_GBK"/>
                <w:color w:val="auto"/>
                <w:sz w:val="21"/>
                <w:szCs w:val="21"/>
              </w:rPr>
            </w:pPr>
            <w:r>
              <w:rPr>
                <w:rFonts w:hint="eastAsia" w:ascii="方正仿宋_GBK" w:hAnsi="宋体" w:eastAsia="方正仿宋_GBK" w:cs="宋体"/>
                <w:color w:val="auto"/>
                <w:sz w:val="24"/>
                <w:szCs w:val="24"/>
              </w:rPr>
              <w:t>（</w:t>
            </w:r>
            <w:r>
              <w:rPr>
                <w:rFonts w:hint="eastAsia" w:ascii="方正仿宋_GBK" w:hAnsi="宋体" w:eastAsia="方正仿宋_GBK" w:cs="宋体"/>
                <w:color w:val="auto"/>
                <w:sz w:val="24"/>
                <w:szCs w:val="24"/>
                <w:lang w:val="en-US" w:eastAsia="zh-CN"/>
              </w:rPr>
              <w:t>30</w:t>
            </w:r>
            <w:r>
              <w:rPr>
                <w:rFonts w:hint="eastAsia" w:ascii="方正仿宋_GBK" w:hAnsi="宋体" w:eastAsia="方正仿宋_GBK" w:cs="宋体"/>
                <w:color w:val="auto"/>
                <w:sz w:val="24"/>
                <w:szCs w:val="24"/>
              </w:rPr>
              <w:t>%）</w:t>
            </w:r>
          </w:p>
        </w:tc>
        <w:tc>
          <w:tcPr>
            <w:tcW w:w="467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 w:leftChars="0" w:right="0" w:rightChars="0" w:hanging="2" w:hangingChars="1"/>
              <w:jc w:val="both"/>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宋体" w:eastAsia="方正仿宋_GBK" w:cs="宋体"/>
                <w:color w:val="auto"/>
                <w:sz w:val="21"/>
                <w:szCs w:val="21"/>
                <w:lang w:val="en-US" w:eastAsia="zh-CN"/>
              </w:rPr>
              <w:t>1.</w:t>
            </w:r>
            <w:r>
              <w:rPr>
                <w:rFonts w:hint="eastAsia" w:ascii="方正仿宋_GBK" w:hAnsi="宋体" w:eastAsia="方正仿宋_GBK" w:cs="宋体"/>
                <w:color w:val="auto"/>
                <w:sz w:val="21"/>
                <w:szCs w:val="21"/>
              </w:rPr>
              <w:t>2018年1月1日至2020年12月31日在重庆地区为985&amp;211双一流高校提供外贸代理服务（需包括科创减免税服务)，得</w:t>
            </w:r>
            <w:r>
              <w:rPr>
                <w:rFonts w:hint="eastAsia" w:ascii="方正仿宋_GBK" w:hAnsi="宋体" w:eastAsia="方正仿宋_GBK" w:cs="宋体"/>
                <w:color w:val="auto"/>
                <w:sz w:val="21"/>
                <w:szCs w:val="21"/>
                <w:lang w:val="en-US" w:eastAsia="zh-CN"/>
              </w:rPr>
              <w:t>15</w:t>
            </w:r>
            <w:r>
              <w:rPr>
                <w:rFonts w:hint="eastAsia" w:ascii="方正仿宋_GBK" w:hAnsi="宋体" w:eastAsia="方正仿宋_GBK" w:cs="宋体"/>
                <w:color w:val="auto"/>
                <w:sz w:val="21"/>
                <w:szCs w:val="21"/>
              </w:rPr>
              <w:t>分；不满足得5分。</w:t>
            </w:r>
          </w:p>
        </w:tc>
        <w:tc>
          <w:tcPr>
            <w:tcW w:w="170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 w:leftChars="0" w:right="0" w:rightChars="0" w:hanging="2" w:hangingChars="1"/>
              <w:jc w:val="both"/>
              <w:textAlignment w:val="auto"/>
              <w:outlineLvl w:val="9"/>
              <w:rPr>
                <w:rFonts w:ascii="方正仿宋_GBK" w:hAnsi="方正仿宋_GBK" w:eastAsia="方正仿宋_GBK" w:cs="方正仿宋_GBK"/>
                <w:color w:val="auto"/>
                <w:sz w:val="21"/>
                <w:szCs w:val="21"/>
              </w:rPr>
            </w:pPr>
            <w:r>
              <w:rPr>
                <w:rFonts w:hint="eastAsia" w:ascii="方正仿宋_GBK" w:hAnsi="宋体" w:eastAsia="方正仿宋_GBK" w:cs="宋体"/>
                <w:color w:val="auto"/>
                <w:sz w:val="21"/>
                <w:szCs w:val="21"/>
              </w:rPr>
              <w:t>提供合同复印件加盖企业鲜章</w:t>
            </w:r>
            <w:r>
              <w:rPr>
                <w:rFonts w:hint="eastAsia" w:ascii="方正仿宋_GBK" w:hAnsi="宋体" w:eastAsia="方正仿宋_GBK" w:cs="宋体"/>
                <w:color w:val="auto"/>
                <w:sz w:val="21"/>
                <w:szCs w:val="21"/>
                <w:lang w:eastAsia="zh-CN"/>
              </w:rPr>
              <w:t>（</w:t>
            </w:r>
            <w:r>
              <w:rPr>
                <w:rFonts w:hint="eastAsia" w:ascii="方正仿宋_GBK" w:hAnsi="宋体" w:eastAsia="方正仿宋_GBK" w:cs="宋体"/>
                <w:color w:val="auto"/>
                <w:sz w:val="21"/>
                <w:szCs w:val="21"/>
              </w:rPr>
              <w:t>原件</w:t>
            </w:r>
            <w:r>
              <w:rPr>
                <w:rFonts w:hint="eastAsia" w:ascii="方正仿宋_GBK" w:hAnsi="宋体" w:eastAsia="方正仿宋_GBK" w:cs="宋体"/>
                <w:color w:val="auto"/>
                <w:sz w:val="21"/>
                <w:szCs w:val="21"/>
                <w:lang w:val="en-US" w:eastAsia="zh-CN"/>
              </w:rPr>
              <w:t>备查）</w:t>
            </w:r>
            <w:r>
              <w:rPr>
                <w:rFonts w:hint="eastAsia" w:ascii="方正仿宋_GBK" w:hAnsi="宋体" w:eastAsia="方正仿宋_GBK"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737" w:type="dxa"/>
            <w:vMerge w:val="continue"/>
            <w:vAlign w:val="center"/>
          </w:tcPr>
          <w:p>
            <w:pPr>
              <w:spacing w:line="240" w:lineRule="atLeast"/>
              <w:jc w:val="center"/>
              <w:rPr>
                <w:rFonts w:ascii="方正仿宋_GBK" w:hAnsi="方正仿宋_GBK" w:eastAsia="方正仿宋_GBK" w:cs="方正仿宋_GBK"/>
                <w:color w:val="auto"/>
                <w:sz w:val="21"/>
                <w:szCs w:val="21"/>
              </w:rPr>
            </w:pPr>
          </w:p>
        </w:tc>
        <w:tc>
          <w:tcPr>
            <w:tcW w:w="1106" w:type="dxa"/>
            <w:vMerge w:val="continue"/>
            <w:vAlign w:val="center"/>
          </w:tcPr>
          <w:p>
            <w:pPr>
              <w:spacing w:line="240" w:lineRule="atLeast"/>
              <w:rPr>
                <w:rFonts w:ascii="方正仿宋_GBK" w:hAnsi="方正仿宋_GBK" w:eastAsia="方正仿宋_GBK" w:cs="方正仿宋_GBK"/>
                <w:color w:val="auto"/>
                <w:sz w:val="21"/>
                <w:szCs w:val="21"/>
              </w:rPr>
            </w:pPr>
          </w:p>
        </w:tc>
        <w:tc>
          <w:tcPr>
            <w:tcW w:w="1276" w:type="dxa"/>
            <w:vMerge w:val="continue"/>
            <w:tcBorders/>
            <w:vAlign w:val="center"/>
          </w:tcPr>
          <w:p>
            <w:pPr>
              <w:ind w:left="-38"/>
              <w:jc w:val="center"/>
              <w:rPr>
                <w:rFonts w:hint="eastAsia" w:ascii="方正仿宋_GBK" w:hAnsi="宋体" w:eastAsia="方正仿宋_GBK" w:cs="宋体"/>
                <w:color w:val="auto"/>
                <w:sz w:val="24"/>
                <w:szCs w:val="24"/>
              </w:rPr>
            </w:pPr>
          </w:p>
        </w:tc>
        <w:tc>
          <w:tcPr>
            <w:tcW w:w="4678" w:type="dxa"/>
            <w:vAlign w:val="center"/>
          </w:tcPr>
          <w:p>
            <w:pPr>
              <w:snapToGrid w:val="0"/>
              <w:spacing w:line="360" w:lineRule="exact"/>
              <w:ind w:left="2" w:leftChars="0" w:hanging="2" w:hangingChars="1"/>
              <w:rPr>
                <w:rFonts w:hint="eastAsia" w:ascii="方正仿宋_GBK" w:hAnsi="方正仿宋_GBK" w:eastAsia="方正仿宋_GBK" w:cs="方正仿宋_GBK"/>
                <w:color w:val="auto"/>
                <w:sz w:val="21"/>
                <w:szCs w:val="21"/>
                <w:lang w:val="en-US" w:eastAsia="zh-CN"/>
              </w:rPr>
            </w:pPr>
            <w:r>
              <w:rPr>
                <w:rFonts w:hint="eastAsia" w:ascii="方正仿宋_GBK" w:hAnsi="宋体" w:eastAsia="方正仿宋_GBK" w:cs="宋体"/>
                <w:sz w:val="21"/>
                <w:szCs w:val="21"/>
              </w:rPr>
              <w:t>2.2016年1月1日至2020年12月31日在重庆地区为15家及以上三甲医院或三甲医院所设立的科研单位提供过外贸代理服务的，得10分；大于10家不足15家的，得5分；大于5家不足10家的，得1分；以下的，不得分。</w:t>
            </w:r>
          </w:p>
        </w:tc>
        <w:tc>
          <w:tcPr>
            <w:tcW w:w="170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 w:leftChars="0" w:right="0" w:rightChars="0" w:hanging="2" w:hangingChars="1"/>
              <w:jc w:val="both"/>
              <w:textAlignment w:val="auto"/>
              <w:outlineLvl w:val="9"/>
              <w:rPr>
                <w:rFonts w:hint="eastAsia" w:ascii="方正仿宋_GBK" w:hAnsi="宋体" w:eastAsia="方正仿宋_GBK"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737" w:type="dxa"/>
            <w:vAlign w:val="center"/>
          </w:tcPr>
          <w:p>
            <w:pPr>
              <w:spacing w:line="240" w:lineRule="atLeast"/>
              <w:jc w:val="center"/>
              <w:rPr>
                <w:rFonts w:ascii="方正仿宋_GBK" w:hAnsi="方正仿宋_GBK" w:eastAsia="方正仿宋_GBK" w:cs="方正仿宋_GBK"/>
                <w:color w:val="auto"/>
                <w:sz w:val="21"/>
                <w:szCs w:val="21"/>
              </w:rPr>
            </w:pPr>
          </w:p>
        </w:tc>
        <w:tc>
          <w:tcPr>
            <w:tcW w:w="1106" w:type="dxa"/>
            <w:vAlign w:val="center"/>
          </w:tcPr>
          <w:p>
            <w:pPr>
              <w:spacing w:line="240" w:lineRule="atLeast"/>
              <w:rPr>
                <w:rFonts w:ascii="方正仿宋_GBK" w:hAnsi="方正仿宋_GBK" w:eastAsia="方正仿宋_GBK" w:cs="方正仿宋_GBK"/>
                <w:color w:val="auto"/>
                <w:sz w:val="21"/>
                <w:szCs w:val="21"/>
              </w:rPr>
            </w:pPr>
          </w:p>
        </w:tc>
        <w:tc>
          <w:tcPr>
            <w:tcW w:w="1276" w:type="dxa"/>
            <w:vMerge w:val="continue"/>
            <w:tcBorders/>
            <w:vAlign w:val="center"/>
          </w:tcPr>
          <w:p>
            <w:pPr>
              <w:ind w:left="-38"/>
              <w:jc w:val="center"/>
              <w:rPr>
                <w:rFonts w:hint="eastAsia" w:ascii="方正仿宋_GBK" w:hAnsi="宋体" w:eastAsia="方正仿宋_GBK" w:cs="宋体"/>
                <w:color w:val="auto"/>
                <w:sz w:val="24"/>
                <w:szCs w:val="24"/>
              </w:rPr>
            </w:pPr>
          </w:p>
        </w:tc>
        <w:tc>
          <w:tcPr>
            <w:tcW w:w="467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 w:leftChars="0" w:right="0" w:rightChars="0" w:hanging="2" w:hangingChars="1"/>
              <w:jc w:val="both"/>
              <w:textAlignment w:val="auto"/>
              <w:outlineLvl w:val="9"/>
              <w:rPr>
                <w:rFonts w:hint="eastAsia" w:ascii="方正仿宋_GBK" w:hAnsi="宋体" w:eastAsia="方正仿宋_GBK" w:cs="宋体"/>
                <w:color w:val="auto"/>
                <w:sz w:val="21"/>
                <w:szCs w:val="21"/>
                <w:lang w:val="en-US" w:eastAsia="zh-CN"/>
              </w:rPr>
            </w:pPr>
            <w:r>
              <w:rPr>
                <w:rFonts w:hint="eastAsia" w:ascii="方正仿宋_GBK" w:hAnsi="宋体" w:eastAsia="方正仿宋_GBK" w:cs="宋体"/>
                <w:sz w:val="21"/>
                <w:szCs w:val="21"/>
              </w:rPr>
              <w:t>３.潜在供应商“十三五”期间（2016年1月1日至2020年12月31日）为科研院所、学校代理进出口货物减免税手续的案例情况：办理了减免税客户的个数，大于等于30个得5分，大于等于20小于30个得3分，小于20个得1分</w:t>
            </w:r>
          </w:p>
        </w:tc>
        <w:tc>
          <w:tcPr>
            <w:tcW w:w="170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 w:leftChars="0" w:right="0" w:rightChars="0" w:hanging="2" w:hangingChars="1"/>
              <w:jc w:val="both"/>
              <w:textAlignment w:val="auto"/>
              <w:outlineLvl w:val="9"/>
              <w:rPr>
                <w:rFonts w:hint="eastAsia" w:ascii="方正仿宋_GBK" w:hAnsi="宋体" w:eastAsia="方正仿宋_GBK" w:cs="宋体"/>
                <w:color w:val="auto"/>
                <w:sz w:val="21"/>
                <w:szCs w:val="21"/>
              </w:rPr>
            </w:pPr>
            <w:r>
              <w:rPr>
                <w:rFonts w:hint="eastAsia" w:ascii="方正仿宋_GBK" w:hAnsi="方正仿宋_GBK" w:eastAsia="方正仿宋_GBK" w:cs="方正仿宋_GBK"/>
                <w:sz w:val="21"/>
                <w:szCs w:val="21"/>
              </w:rPr>
              <w:t>提供报关单复印件并加盖投标人公章；时间以报关单进口日期为准；客户名称以报关单上显示为准；报关单应显示完整，不得模糊或故意遮挡。（原件备查）。</w:t>
            </w:r>
          </w:p>
        </w:tc>
      </w:tr>
    </w:tbl>
    <w:p>
      <w:pPr>
        <w:snapToGrid w:val="0"/>
        <w:spacing w:line="440" w:lineRule="exact"/>
        <w:ind w:firstLine="465"/>
        <w:rPr>
          <w:rFonts w:hint="eastAsia" w:ascii="方正仿宋_GBK" w:hAnsi="方正仿宋_GBK" w:eastAsia="方正仿宋_GBK" w:cs="方正仿宋_GBK"/>
          <w:b/>
          <w:color w:val="auto"/>
          <w:sz w:val="24"/>
          <w:szCs w:val="24"/>
        </w:rPr>
      </w:pPr>
      <w:bookmarkStart w:id="56" w:name="_Toc428437947"/>
    </w:p>
    <w:p>
      <w:pPr>
        <w:snapToGrid w:val="0"/>
        <w:spacing w:line="440" w:lineRule="exact"/>
        <w:ind w:firstLine="465"/>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auto"/>
          <w:sz w:val="24"/>
          <w:szCs w:val="24"/>
        </w:rPr>
        <w:t>说明：</w:t>
      </w:r>
    </w:p>
    <w:p>
      <w:pPr>
        <w:numPr>
          <w:ilvl w:val="0"/>
          <w:numId w:val="14"/>
        </w:numPr>
        <w:snapToGrid w:val="0"/>
        <w:spacing w:line="440" w:lineRule="exact"/>
        <w:ind w:firstLine="46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磋商小组认为排名在前面的成交候选供应商的磋商报价或者某些分项报价明显不合理或者低于成本，有可能影响服务质量和不能诚信履约的，将要求其在规定的期限内提供书面文件予以解释说明，并提交相关证明材料；否则，磋商小组可以取消该成交候选供应商资格，按顺序由排在后一位的成交候选供应商递补，以此类推。</w:t>
      </w:r>
    </w:p>
    <w:p>
      <w:pPr>
        <w:pageBreakBefore w:val="0"/>
        <w:widowControl w:val="0"/>
        <w:kinsoku/>
        <w:wordWrap/>
        <w:overflowPunct/>
        <w:topLinePunct w:val="0"/>
        <w:autoSpaceDE/>
        <w:autoSpaceDN/>
        <w:bidi w:val="0"/>
        <w:adjustRightInd/>
        <w:snapToGrid w:val="0"/>
        <w:spacing w:line="480" w:lineRule="exact"/>
        <w:ind w:left="0" w:leftChars="0" w:right="0" w:rightChars="0" w:firstLine="465"/>
        <w:jc w:val="both"/>
        <w:textAlignment w:val="auto"/>
        <w:outlineLvl w:val="9"/>
        <w:rPr>
          <w:rFonts w:hint="eastAsia" w:ascii="方正仿宋_GBK" w:hAnsi="仿宋" w:eastAsia="方正仿宋_GBK"/>
          <w:sz w:val="24"/>
          <w:szCs w:val="24"/>
        </w:rPr>
      </w:pPr>
      <w:r>
        <w:rPr>
          <w:rFonts w:hint="eastAsia" w:ascii="方正仿宋_GBK" w:hAnsi="仿宋" w:eastAsia="方正仿宋_GBK"/>
          <w:sz w:val="24"/>
          <w:szCs w:val="24"/>
        </w:rPr>
        <w:t>（二）关于小微企业报价扣除比例说明</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hint="eastAsia" w:ascii="方正仿宋_GBK" w:hAnsi="仿宋" w:eastAsia="方正仿宋_GBK"/>
          <w:sz w:val="24"/>
          <w:szCs w:val="24"/>
        </w:rPr>
      </w:pPr>
      <w:r>
        <w:rPr>
          <w:rFonts w:hint="eastAsia" w:ascii="方正仿宋_GBK" w:hAnsi="仿宋" w:eastAsia="方正仿宋_GBK"/>
          <w:sz w:val="24"/>
          <w:szCs w:val="24"/>
        </w:rPr>
        <w:t>1.对小微企业给予</w:t>
      </w:r>
      <w:r>
        <w:rPr>
          <w:rFonts w:hint="eastAsia" w:ascii="方正仿宋_GBK" w:hAnsi="仿宋" w:eastAsia="方正仿宋_GBK"/>
          <w:sz w:val="24"/>
          <w:szCs w:val="24"/>
          <w:u w:val="single"/>
        </w:rPr>
        <w:t>6</w:t>
      </w:r>
      <w:r>
        <w:rPr>
          <w:rFonts w:hint="eastAsia" w:ascii="方正仿宋_GBK" w:hAnsi="仿宋" w:eastAsia="方正仿宋_GBK"/>
          <w:sz w:val="24"/>
          <w:szCs w:val="24"/>
        </w:rPr>
        <w:t>%的扣除，以扣除后的报价参与评审。</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pPr>
      <w:r>
        <w:rPr>
          <w:rFonts w:hint="eastAsia" w:ascii="方正仿宋_GBK" w:hAnsi="仿宋" w:eastAsia="方正仿宋_GBK" w:cs="Times New Roman"/>
          <w:b w:val="0"/>
          <w:kern w:val="2"/>
          <w:sz w:val="24"/>
          <w:szCs w:val="24"/>
          <w:lang w:val="en-US" w:eastAsia="zh-CN" w:bidi="ar-SA"/>
        </w:rPr>
        <w:t>2.监狱企业、残疾人福利性单位视同小型、微型企业。</w:t>
      </w:r>
    </w:p>
    <w:p>
      <w:pPr>
        <w:pStyle w:val="6"/>
        <w:spacing w:line="480" w:lineRule="exact"/>
        <w:rPr>
          <w:rFonts w:ascii="方正仿宋_GBK" w:hAnsi="方正仿宋_GBK" w:eastAsia="方正仿宋_GBK" w:cs="方正仿宋_GBK"/>
          <w:color w:val="000000"/>
          <w:sz w:val="24"/>
          <w:szCs w:val="24"/>
        </w:rPr>
      </w:pPr>
      <w:bookmarkStart w:id="57" w:name="_Toc3911"/>
      <w:r>
        <w:rPr>
          <w:rFonts w:hint="eastAsia" w:ascii="方正仿宋_GBK" w:hAnsi="方正仿宋_GBK" w:eastAsia="方正仿宋_GBK" w:cs="方正仿宋_GBK"/>
          <w:color w:val="000000"/>
          <w:sz w:val="24"/>
          <w:szCs w:val="24"/>
        </w:rPr>
        <w:t>三、无效响应</w:t>
      </w:r>
      <w:bookmarkEnd w:id="56"/>
      <w:bookmarkEnd w:id="57"/>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供应商发生以下条款情况之一者，视为无效响应，其响应文件将被拒绝：</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（一）供应商未通过资格性检查或响应文件未通过符合性检查的；</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（二）供应商的法定代表人或其授权代表未参加磋商；</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（三）供应商所提交的响应文件不按第</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篇“响应文件格式要求”规定签字、盖章；</w:t>
      </w:r>
    </w:p>
    <w:p>
      <w:pPr>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（四）供应商的最后报价超过采购预算的；</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（五）单位负责人为同一人或者存在直接控股、管理关系的不同供应商，参加同一合同项下的政府采购活动的；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（六）为采购项目提供整体设计、规范编制或者项目管理、监理、检测等服务的供应商再参加本项目的采购活动的；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（七）供应商响应文件内容有与国家现行法律法规相违背的内容，或附有采购人无法接受的条件。</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（八）响应产品不符合必须强制执行的国家标准的；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（九）供应商的交货期（或为：实施时间）、质量保证期及磋商有效期不满足磋商文件要求的；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（十）供应商被列入失信被执行人、重大税收违法案件当事人名单、政府采购严重违法失信行为记录名单及其他不符合《中华人民共和国政府采购法》第二十二条规定条件的。</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（十一）供应商提供虚假材料的。</w:t>
      </w:r>
    </w:p>
    <w:p>
      <w:pPr>
        <w:pStyle w:val="6"/>
        <w:spacing w:line="480" w:lineRule="exact"/>
        <w:rPr>
          <w:rFonts w:ascii="方正仿宋_GBK" w:hAnsi="方正仿宋_GBK" w:eastAsia="方正仿宋_GBK" w:cs="方正仿宋_GBK"/>
          <w:color w:val="000000"/>
          <w:sz w:val="24"/>
          <w:szCs w:val="24"/>
        </w:rPr>
      </w:pPr>
      <w:bookmarkStart w:id="58" w:name="_Toc428437948"/>
      <w:bookmarkStart w:id="59" w:name="_Toc3478"/>
      <w:r>
        <w:rPr>
          <w:rFonts w:hint="eastAsia" w:ascii="方正仿宋_GBK" w:hAnsi="方正仿宋_GBK" w:eastAsia="方正仿宋_GBK" w:cs="方正仿宋_GBK"/>
          <w:color w:val="000000"/>
          <w:sz w:val="24"/>
          <w:szCs w:val="24"/>
        </w:rPr>
        <w:t>四、</w:t>
      </w:r>
      <w:bookmarkEnd w:id="54"/>
      <w:bookmarkEnd w:id="55"/>
      <w:r>
        <w:rPr>
          <w:rFonts w:hint="eastAsia" w:ascii="方正仿宋_GBK" w:hAnsi="方正仿宋_GBK" w:eastAsia="方正仿宋_GBK" w:cs="方正仿宋_GBK"/>
          <w:color w:val="000000"/>
          <w:sz w:val="24"/>
          <w:szCs w:val="24"/>
        </w:rPr>
        <w:t>采购终止</w:t>
      </w:r>
      <w:bookmarkEnd w:id="58"/>
      <w:bookmarkEnd w:id="59"/>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出现下列情形之一的，采购人应当终止竞争性磋商采购活动，发布项目终止公告并说明原因，重新开展采购活动：</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（一）因情况变化，不再符合规定的竞争性磋商采购方式适用情形的；</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（二）出现影响采购公正的违法、违规行为的；</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在采购过程中符合要求的供应商或者报价超过采购预算的供应商不足3家的，但《政府采购竞争性磋商采购方式管理暂行办法》第二十一条第三款规定的情形，以及财政部财库[2015]124号文件规定的情形除外。</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（四）因重大变故，采购任务取消的。</w:t>
      </w:r>
    </w:p>
    <w:p>
      <w:pPr>
        <w:spacing w:line="360" w:lineRule="auto"/>
        <w:ind w:firstLine="480" w:firstLineChars="200"/>
        <w:rPr>
          <w:rFonts w:ascii="方正仿宋_GBK" w:hAnsi="方正仿宋_GBK" w:eastAsia="方正仿宋_GBK" w:cs="方正仿宋_GBK"/>
          <w:color w:val="000000"/>
          <w:sz w:val="24"/>
          <w:szCs w:val="24"/>
        </w:rPr>
        <w:sectPr>
          <w:footerReference r:id="rId13" w:type="default"/>
          <w:footerReference r:id="rId14" w:type="even"/>
          <w:pgSz w:w="11907" w:h="16840"/>
          <w:pgMar w:top="1134" w:right="1191" w:bottom="1134" w:left="1304" w:header="964" w:footer="992" w:gutter="0"/>
          <w:pgNumType w:fmt="decimal"/>
          <w:cols w:space="720" w:num="1"/>
          <w:docGrid w:linePitch="312" w:charSpace="0"/>
        </w:sectPr>
      </w:pPr>
    </w:p>
    <w:p>
      <w:pPr>
        <w:pStyle w:val="5"/>
        <w:keepNext/>
        <w:keepLines/>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center"/>
        <w:textAlignment w:val="auto"/>
        <w:outlineLvl w:val="1"/>
        <w:rPr>
          <w:rFonts w:ascii="方正小标宋_GBK" w:hAnsi="方正小标宋_GBK" w:eastAsia="方正小标宋_GBK" w:cs="方正小标宋_GBK"/>
          <w:color w:val="000000"/>
          <w:sz w:val="36"/>
          <w:szCs w:val="36"/>
        </w:rPr>
      </w:pPr>
      <w:bookmarkStart w:id="60" w:name="_Hlt41879464"/>
      <w:bookmarkEnd w:id="60"/>
      <w:bookmarkStart w:id="61" w:name="_Toc16225"/>
      <w:bookmarkStart w:id="62" w:name="_Toc12789072"/>
      <w:r>
        <w:rPr>
          <w:rFonts w:hint="eastAsia" w:ascii="方正小标宋_GBK" w:hAnsi="方正小标宋_GBK" w:eastAsia="方正小标宋_GBK" w:cs="方正小标宋_GBK"/>
          <w:color w:val="000000"/>
          <w:sz w:val="36"/>
          <w:szCs w:val="36"/>
        </w:rPr>
        <w:t>第五篇  供应商须知</w:t>
      </w:r>
      <w:bookmarkEnd w:id="61"/>
    </w:p>
    <w:p>
      <w:pPr>
        <w:pStyle w:val="6"/>
        <w:spacing w:line="480" w:lineRule="exact"/>
        <w:rPr>
          <w:rFonts w:ascii="方正仿宋_GBK" w:hAnsi="方正仿宋_GBK" w:eastAsia="方正仿宋_GBK" w:cs="方正仿宋_GBK"/>
          <w:color w:val="000000"/>
          <w:sz w:val="24"/>
          <w:szCs w:val="24"/>
        </w:rPr>
      </w:pPr>
      <w:bookmarkStart w:id="63" w:name="_Toc428437950"/>
      <w:bookmarkStart w:id="64" w:name="_Toc8332"/>
      <w:r>
        <w:rPr>
          <w:rFonts w:hint="eastAsia" w:ascii="方正仿宋_GBK" w:hAnsi="方正仿宋_GBK" w:eastAsia="方正仿宋_GBK" w:cs="方正仿宋_GBK"/>
          <w:color w:val="000000"/>
          <w:sz w:val="24"/>
          <w:szCs w:val="24"/>
        </w:rPr>
        <w:t>一、磋商</w:t>
      </w:r>
      <w:bookmarkEnd w:id="63"/>
      <w:r>
        <w:rPr>
          <w:rFonts w:hint="eastAsia" w:ascii="方正仿宋_GBK" w:hAnsi="方正仿宋_GBK" w:eastAsia="方正仿宋_GBK" w:cs="方正仿宋_GBK"/>
          <w:color w:val="000000"/>
          <w:sz w:val="24"/>
          <w:szCs w:val="24"/>
        </w:rPr>
        <w:t>供应商</w:t>
      </w:r>
      <w:bookmarkEnd w:id="64"/>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1．合格磋商供应商条件</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合格磋商供应商应完全符合磋商文件第一篇中规定的供应商资格条件，并对磋商文件作出实质性响应。</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2．供应商的风险</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供应商没有按照磋商文件要求提供全部资料，或者供应商没有对磋商文件在各方面作出实质性响应，可能导致磋商被拒绝或评定为无效磋商。</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供应商的磋商费用</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参与磋商的供应商应承担其编制响应文件与递交响应文件所涉及的一切费用，不论磋商结果如何，采购人在任何情况下无义务也无责任承担这些费用。</w:t>
      </w:r>
    </w:p>
    <w:p>
      <w:pPr>
        <w:pStyle w:val="6"/>
        <w:spacing w:line="480" w:lineRule="exact"/>
        <w:rPr>
          <w:rFonts w:ascii="方正仿宋_GBK" w:hAnsi="方正仿宋_GBK" w:eastAsia="方正仿宋_GBK" w:cs="方正仿宋_GBK"/>
          <w:color w:val="000000"/>
          <w:sz w:val="24"/>
          <w:szCs w:val="24"/>
        </w:rPr>
      </w:pPr>
      <w:bookmarkStart w:id="65" w:name="_Toc428437951"/>
      <w:bookmarkStart w:id="66" w:name="_Toc25437"/>
      <w:r>
        <w:rPr>
          <w:rFonts w:hint="eastAsia" w:ascii="方正仿宋_GBK" w:hAnsi="方正仿宋_GBK" w:eastAsia="方正仿宋_GBK" w:cs="方正仿宋_GBK"/>
          <w:color w:val="000000"/>
          <w:sz w:val="24"/>
          <w:szCs w:val="24"/>
        </w:rPr>
        <w:t>二、竞争性磋商文件</w:t>
      </w:r>
      <w:bookmarkEnd w:id="65"/>
      <w:bookmarkEnd w:id="66"/>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（一）竞争性磋商文件由竞争性磋商邀请书、采购技术需求、采购商务需求、磋商程序及方法、评审标准、无效响应和采购终止、供应商须知、响应文件编制要求六部分组成。</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（二）采购人所作的一切有效的书面通知、修改及补充，都是竞争性磋商文件不可分割的部分。</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（三）竞争性磋商文件的解释</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如对竞争性磋商文件有疑问，必须以书面形式在提交响应文件截止时间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67" w:name="_Toc318166429"/>
      <w:bookmarkStart w:id="68" w:name="_Toc318159160"/>
      <w:bookmarkStart w:id="69" w:name="_Toc318159780"/>
      <w:bookmarkStart w:id="70" w:name="_Toc318159349"/>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（四）本竞争性磋商文件中，磋商小组根据与供应商进行磋商可能实质性变动的内容为竞争性磋商文件第二、三篇全部内容。</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（五）评审的依据为竞争性磋商文件和响应文件（含有效的书面承诺）。磋商小组判断响应文件对竞争性磋商文件的响应，仅基于响应文件本身而不靠外部证据。</w:t>
      </w:r>
    </w:p>
    <w:bookmarkEnd w:id="67"/>
    <w:bookmarkEnd w:id="68"/>
    <w:bookmarkEnd w:id="69"/>
    <w:bookmarkEnd w:id="70"/>
    <w:p>
      <w:pPr>
        <w:pStyle w:val="6"/>
        <w:spacing w:line="480" w:lineRule="exact"/>
        <w:rPr>
          <w:rFonts w:ascii="方正仿宋_GBK" w:hAnsi="方正仿宋_GBK" w:eastAsia="方正仿宋_GBK" w:cs="方正仿宋_GBK"/>
          <w:color w:val="000000"/>
          <w:sz w:val="24"/>
          <w:szCs w:val="24"/>
        </w:rPr>
      </w:pPr>
      <w:bookmarkStart w:id="71" w:name="_Toc102227318"/>
      <w:bookmarkStart w:id="72" w:name="_Toc342913392"/>
      <w:bookmarkStart w:id="73" w:name="_Toc179714297"/>
      <w:bookmarkStart w:id="74" w:name="_Toc428437952"/>
      <w:bookmarkStart w:id="75" w:name="_Toc18975"/>
      <w:r>
        <w:rPr>
          <w:rFonts w:hint="eastAsia" w:ascii="方正仿宋_GBK" w:hAnsi="方正仿宋_GBK" w:eastAsia="方正仿宋_GBK" w:cs="方正仿宋_GBK"/>
          <w:color w:val="000000"/>
          <w:sz w:val="24"/>
          <w:szCs w:val="24"/>
        </w:rPr>
        <w:t>三、磋商要求</w:t>
      </w:r>
      <w:bookmarkEnd w:id="71"/>
      <w:bookmarkEnd w:id="72"/>
      <w:bookmarkEnd w:id="73"/>
      <w:bookmarkEnd w:id="74"/>
      <w:bookmarkEnd w:id="75"/>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（一）响应文件</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1．供应商应当按照竞争性磋商文件的要求编制响应文件，并对竞争性磋商文件提出的要求和条件作出实质性响应，响应文件原则上采用软面订本，同时应编制完整的页码、目录。</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2．响应文件组成</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pPr>
        <w:spacing w:line="4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（二）本项目不接受联合体形式参与磋商。</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（三）磋商有效期：响应文件及有关承诺文件有效期为提交响应文件截止时间起90天。</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（四）修正错误</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1．若供应商所递交的响应文件或最后报价中的价格出现大写金额和小写金额不一致的错误，以大写金额修正为准。</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（五）提交响应文件的份数和签署</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FF0000"/>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 xml:space="preserve"> </w:t>
      </w:r>
      <w:r>
        <w:rPr>
          <w:rFonts w:hint="eastAsia" w:ascii="方正仿宋_GBK" w:hAnsi="宋体" w:eastAsia="方正仿宋_GBK"/>
          <w:color w:val="auto"/>
          <w:sz w:val="24"/>
          <w:szCs w:val="24"/>
        </w:rPr>
        <w:t>响应文件一式</w:t>
      </w:r>
      <w:r>
        <w:rPr>
          <w:rFonts w:hint="eastAsia" w:ascii="方正仿宋_GBK" w:hAnsi="宋体" w:eastAsia="方正仿宋_GBK"/>
          <w:color w:val="auto"/>
          <w:sz w:val="24"/>
          <w:szCs w:val="24"/>
          <w:lang w:val="en-US" w:eastAsia="zh-CN"/>
        </w:rPr>
        <w:t>四</w:t>
      </w:r>
      <w:r>
        <w:rPr>
          <w:rFonts w:hint="eastAsia" w:ascii="方正仿宋_GBK" w:hAnsi="宋体" w:eastAsia="方正仿宋_GBK"/>
          <w:color w:val="auto"/>
          <w:sz w:val="24"/>
          <w:szCs w:val="24"/>
        </w:rPr>
        <w:t>份，其中正本一份，副本</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rPr>
        <w:t>份</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正、副本中不包含竞争性报价函和明细报价表</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竞争性报价函和明细报价表（即：经济文件）（简称：报价）一份</w:t>
      </w:r>
      <w:r>
        <w:rPr>
          <w:rFonts w:hint="eastAsia" w:ascii="方正仿宋_GBK" w:hAnsi="方正仿宋_GBK" w:eastAsia="方正仿宋_GBK" w:cs="方正仿宋_GBK"/>
          <w:color w:val="auto"/>
          <w:sz w:val="24"/>
          <w:szCs w:val="24"/>
          <w:lang w:val="en-US" w:eastAsia="zh-CN"/>
        </w:rPr>
        <w:t>、</w:t>
      </w:r>
      <w:r>
        <w:rPr>
          <w:rFonts w:hint="eastAsia" w:ascii="方正仿宋_GBK" w:hAnsi="宋体" w:eastAsia="方正仿宋_GBK"/>
          <w:color w:val="auto"/>
          <w:sz w:val="24"/>
          <w:szCs w:val="24"/>
        </w:rPr>
        <w:t>电子文档一份（电子文档内容应与纸质文件正本一致，如不一致以纸质文件正本为准。推荐采用U盘为电子文档载体）；副本可为正本的复印件，应与正本一致，如出现不一致情况以正本为准。</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2．在响应文件正本中，竞争性磋商文件第六篇响应文件编制要求中规定签字、盖章的地方必须按其规定签字、盖章。</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（六）响应文件的递交</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1．响应文件的密封与标记</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rPr>
        <w:t>响应文件的正本、副本</w:t>
      </w:r>
      <w:r>
        <w:rPr>
          <w:rFonts w:hint="eastAsia" w:ascii="方正仿宋_GBK" w:hAnsi="方正仿宋_GBK" w:eastAsia="方正仿宋_GBK" w:cs="方正仿宋_GBK"/>
          <w:color w:val="auto"/>
          <w:sz w:val="24"/>
          <w:szCs w:val="24"/>
          <w:lang w:val="en-US" w:eastAsia="zh-CN"/>
        </w:rPr>
        <w:t>不密封，报价及</w:t>
      </w:r>
      <w:r>
        <w:rPr>
          <w:rFonts w:hint="eastAsia" w:ascii="方正仿宋_GBK" w:hAnsi="方正仿宋_GBK" w:eastAsia="方正仿宋_GBK" w:cs="方正仿宋_GBK"/>
          <w:color w:val="auto"/>
          <w:sz w:val="24"/>
          <w:szCs w:val="24"/>
        </w:rPr>
        <w:t>电子文档应密封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一并</w:t>
      </w:r>
      <w:r>
        <w:rPr>
          <w:rFonts w:hint="eastAsia" w:ascii="方正仿宋_GBK" w:hAnsi="方正仿宋_GBK" w:eastAsia="方正仿宋_GBK" w:cs="方正仿宋_GBK"/>
          <w:color w:val="auto"/>
          <w:sz w:val="24"/>
          <w:szCs w:val="24"/>
        </w:rPr>
        <w:t>送达</w:t>
      </w:r>
      <w:r>
        <w:rPr>
          <w:rFonts w:hint="eastAsia" w:ascii="方正仿宋_GBK" w:hAnsi="方正仿宋_GBK" w:eastAsia="方正仿宋_GBK" w:cs="方正仿宋_GBK"/>
          <w:color w:val="auto"/>
          <w:sz w:val="24"/>
          <w:szCs w:val="24"/>
          <w:lang w:val="en-US" w:eastAsia="zh-CN"/>
        </w:rPr>
        <w:t>指定</w:t>
      </w:r>
      <w:r>
        <w:rPr>
          <w:rFonts w:hint="eastAsia" w:ascii="方正仿宋_GBK" w:hAnsi="方正仿宋_GBK" w:eastAsia="方正仿宋_GBK" w:cs="方正仿宋_GBK"/>
          <w:color w:val="auto"/>
          <w:sz w:val="24"/>
          <w:szCs w:val="24"/>
        </w:rPr>
        <w:t>地点。应在封</w:t>
      </w:r>
      <w:r>
        <w:rPr>
          <w:rFonts w:hint="eastAsia" w:ascii="方正仿宋_GBK" w:hAnsi="方正仿宋_GBK" w:eastAsia="方正仿宋_GBK" w:cs="方正仿宋_GBK"/>
          <w:color w:val="auto"/>
          <w:sz w:val="24"/>
          <w:szCs w:val="24"/>
          <w:lang w:val="en-US" w:eastAsia="zh-CN"/>
        </w:rPr>
        <w:t>面或封</w:t>
      </w:r>
      <w:r>
        <w:rPr>
          <w:rFonts w:hint="eastAsia" w:ascii="方正仿宋_GBK" w:hAnsi="方正仿宋_GBK" w:eastAsia="方正仿宋_GBK" w:cs="方正仿宋_GBK"/>
          <w:color w:val="auto"/>
          <w:sz w:val="24"/>
          <w:szCs w:val="24"/>
        </w:rPr>
        <w:t>套上注明项目名称、供应商名称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联系人、联系电话</w:t>
      </w:r>
      <w:r>
        <w:rPr>
          <w:rFonts w:hint="eastAsia" w:ascii="方正仿宋_GBK" w:hAnsi="方正仿宋_GBK" w:eastAsia="方正仿宋_GBK" w:cs="方正仿宋_GBK"/>
          <w:color w:val="auto"/>
          <w:sz w:val="24"/>
          <w:szCs w:val="24"/>
        </w:rPr>
        <w:t>。还应注明“正本”、“副本”、“</w:t>
      </w:r>
      <w:r>
        <w:rPr>
          <w:rFonts w:hint="eastAsia" w:ascii="方正仿宋_GBK" w:hAnsi="方正仿宋_GBK" w:eastAsia="方正仿宋_GBK" w:cs="方正仿宋_GBK"/>
          <w:color w:val="auto"/>
          <w:sz w:val="24"/>
          <w:szCs w:val="24"/>
          <w:lang w:val="en-US" w:eastAsia="zh-CN"/>
        </w:rPr>
        <w:t>报价及</w:t>
      </w:r>
      <w:r>
        <w:rPr>
          <w:rFonts w:hint="eastAsia" w:ascii="方正仿宋_GBK" w:hAnsi="方正仿宋_GBK" w:eastAsia="方正仿宋_GBK" w:cs="方正仿宋_GBK"/>
          <w:color w:val="auto"/>
          <w:sz w:val="24"/>
          <w:szCs w:val="24"/>
        </w:rPr>
        <w:t>电子文档”字样。封套的封口处应加盖供应商公章或由法定代表人授权代表签字。</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2．响应文件递交截止时间：参阅竞争性磋商邀请书。</w:t>
      </w:r>
    </w:p>
    <w:p>
      <w:pPr>
        <w:pStyle w:val="74"/>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3．响应文件语言：简体中文</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（七）供应商参与人员</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各个供应商可派1-2名代表参与磋商，至少1人应为法定代表人或具有法定代表人授权委托书的授权代表。</w:t>
      </w:r>
    </w:p>
    <w:p>
      <w:pPr>
        <w:pStyle w:val="6"/>
        <w:spacing w:line="480" w:lineRule="exact"/>
        <w:rPr>
          <w:rFonts w:ascii="方正仿宋_GBK" w:hAnsi="方正仿宋_GBK" w:eastAsia="方正仿宋_GBK" w:cs="方正仿宋_GBK"/>
          <w:color w:val="000000"/>
          <w:sz w:val="24"/>
          <w:szCs w:val="24"/>
        </w:rPr>
      </w:pPr>
      <w:bookmarkStart w:id="76" w:name="_Toc428437953"/>
      <w:bookmarkStart w:id="77" w:name="_Toc8610"/>
      <w:r>
        <w:rPr>
          <w:rFonts w:hint="eastAsia" w:ascii="方正仿宋_GBK" w:hAnsi="方正仿宋_GBK" w:eastAsia="方正仿宋_GBK" w:cs="方正仿宋_GBK"/>
          <w:color w:val="000000"/>
          <w:sz w:val="24"/>
          <w:szCs w:val="24"/>
        </w:rPr>
        <w:t>四、成交供应商的确认和变更</w:t>
      </w:r>
      <w:bookmarkEnd w:id="76"/>
      <w:bookmarkEnd w:id="77"/>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（一）成交供应商的确认</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采购人授权的磋商小组应当从成交候选供应商中，按照排序由高到低的原则确定成交供应商。采购人逾期未确定成交供应商且不提出异议的，视为确定排序第一的供应商为成交供应商。</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（二）成交供应商的变更</w:t>
      </w:r>
    </w:p>
    <w:p>
      <w:pPr>
        <w:snapToGrid w:val="0"/>
        <w:spacing w:line="4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成交供应商拒绝与采购人签订合同的，采购人可以按照评审结果的成交候选供应商顺序，确定排名下一位的候选人为成交供应商。</w:t>
      </w:r>
    </w:p>
    <w:p>
      <w:pPr>
        <w:pStyle w:val="6"/>
        <w:spacing w:line="480" w:lineRule="exact"/>
        <w:rPr>
          <w:rFonts w:ascii="方正仿宋_GBK" w:hAnsi="方正仿宋_GBK" w:eastAsia="方正仿宋_GBK" w:cs="方正仿宋_GBK"/>
          <w:color w:val="000000"/>
          <w:sz w:val="24"/>
          <w:szCs w:val="24"/>
        </w:rPr>
      </w:pPr>
      <w:bookmarkStart w:id="78" w:name="_Toc102227321"/>
      <w:bookmarkStart w:id="79" w:name="_Toc428437954"/>
      <w:bookmarkStart w:id="80" w:name="_Toc342913395"/>
      <w:bookmarkStart w:id="81" w:name="_Toc27503"/>
      <w:r>
        <w:rPr>
          <w:rFonts w:hint="eastAsia" w:ascii="方正仿宋_GBK" w:hAnsi="方正仿宋_GBK" w:eastAsia="方正仿宋_GBK" w:cs="方正仿宋_GBK"/>
          <w:color w:val="000000"/>
          <w:sz w:val="24"/>
          <w:szCs w:val="24"/>
        </w:rPr>
        <w:t>五、成交通知</w:t>
      </w:r>
      <w:bookmarkEnd w:id="78"/>
      <w:bookmarkEnd w:id="79"/>
      <w:bookmarkEnd w:id="80"/>
      <w:bookmarkEnd w:id="81"/>
    </w:p>
    <w:p>
      <w:pPr>
        <w:pStyle w:val="74"/>
        <w:spacing w:line="480" w:lineRule="exact"/>
        <w:ind w:firstLine="480" w:firstLineChars="200"/>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（一）成交供应商确定后，采购人即以电话形式告之成交供应商，并在</w:t>
      </w:r>
      <w:r>
        <w:rPr>
          <w:rFonts w:hint="eastAsia" w:ascii="方正仿宋_GBK" w:hAnsi="宋体" w:eastAsia="方正仿宋_GBK"/>
          <w:sz w:val="24"/>
          <w:szCs w:val="24"/>
        </w:rPr>
        <w:t>“行采家”平台（http://www.gec123.com）</w:t>
      </w:r>
      <w:r>
        <w:rPr>
          <w:rFonts w:hint="eastAsia" w:ascii="方正仿宋_GBK" w:hAnsi="方正仿宋_GBK" w:eastAsia="方正仿宋_GBK" w:cs="方正仿宋_GBK"/>
          <w:color w:val="000000"/>
          <w:sz w:val="24"/>
          <w:szCs w:val="24"/>
        </w:rPr>
        <w:t>上发布成交结果公告。</w:t>
      </w:r>
    </w:p>
    <w:p>
      <w:pPr>
        <w:pStyle w:val="74"/>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（二）如有供应商对成交结果提出质疑的，在质疑处理完毕后发出成交通知。</w:t>
      </w:r>
    </w:p>
    <w:p>
      <w:pPr>
        <w:pStyle w:val="6"/>
        <w:spacing w:line="480" w:lineRule="exact"/>
        <w:rPr>
          <w:rFonts w:ascii="方正仿宋_GBK" w:hAnsi="方正仿宋_GBK" w:eastAsia="方正仿宋_GBK" w:cs="方正仿宋_GBK"/>
          <w:color w:val="000000"/>
          <w:sz w:val="24"/>
          <w:szCs w:val="24"/>
        </w:rPr>
      </w:pPr>
      <w:bookmarkStart w:id="82" w:name="_Toc428437955"/>
      <w:bookmarkStart w:id="83" w:name="_Toc508"/>
      <w:r>
        <w:rPr>
          <w:rFonts w:hint="eastAsia" w:ascii="方正仿宋_GBK" w:hAnsi="方正仿宋_GBK" w:eastAsia="方正仿宋_GBK" w:cs="方正仿宋_GBK"/>
          <w:color w:val="000000"/>
          <w:sz w:val="24"/>
          <w:szCs w:val="24"/>
        </w:rPr>
        <w:t>六、关于质疑和投诉</w:t>
      </w:r>
      <w:bookmarkEnd w:id="82"/>
      <w:bookmarkEnd w:id="83"/>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（一）质疑内容、时限</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1．成交结果公告期限为成交结果公告发出之日起一个工作日，供应商对成交结果有异议的，应当在成交结果公告期限届满之日起二个工作日内以书面形式向采购人提出质疑，并附相关证明材料。</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2．供应商对磋商文件中供应商特定资格条件、技术和商务需求、评审标准及评审细则有异议的，可向采购人提出质疑。</w:t>
      </w:r>
    </w:p>
    <w:p>
      <w:pPr>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（二）质疑答复</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采购人在收到供应商书面质疑后二个工作日内，对质疑内容作出答复。</w:t>
      </w:r>
    </w:p>
    <w:p>
      <w:pPr>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（三）不予受理或暂缓受理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1．质疑有下列情形之一的，不予受理：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1.1质疑供应商参与了磋商活动后，再对竞争性磋商文件内容提出质疑的；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1.2质疑超过有效期的；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1.3对同一事项重复质疑的。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2．质疑有下列情形之一的，应暂不受理并告知供应商补充材料。供应商及时补充材料的，应予受理；逾期未补充的，不予受理：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2.1质疑书格式和内容不符合国家或重庆市相关规定的；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2.2质疑书提供的依据或证明材料不全的；</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（四）投诉</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1．供应商对采购人的答复不满意或者采购人未在规定时间内答复的，可在答复期满后十五个工作日内按有关规定，向同级财政部门投诉。</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2．在提出投诉时，应附送相关证明材料。投诉书及证明材料为外文的，应同时提供其中文译本；中文与外文意思不一致的，以中文为准。</w:t>
      </w:r>
    </w:p>
    <w:p>
      <w:pPr>
        <w:pStyle w:val="74"/>
        <w:spacing w:line="480" w:lineRule="exact"/>
        <w:ind w:firstLine="480" w:firstLineChars="200"/>
        <w:rPr>
          <w:color w:val="000000"/>
        </w:rPr>
      </w:pPr>
      <w:r>
        <w:rPr>
          <w:rFonts w:hint="eastAsia" w:ascii="方正仿宋_GBK" w:hAnsi="方正仿宋_GBK" w:eastAsia="方正仿宋_GBK" w:cs="方正仿宋_GBK"/>
          <w:color w:val="000000"/>
          <w:sz w:val="24"/>
          <w:szCs w:val="24"/>
        </w:rPr>
        <w:br w:type="page"/>
      </w:r>
    </w:p>
    <w:p>
      <w:pPr>
        <w:pStyle w:val="5"/>
        <w:spacing w:line="360" w:lineRule="auto"/>
        <w:jc w:val="center"/>
        <w:rPr>
          <w:rFonts w:ascii="方正小标宋_GBK" w:hAnsi="方正小标宋_GBK" w:eastAsia="方正小标宋_GBK" w:cs="方正小标宋_GBK"/>
          <w:color w:val="000000"/>
          <w:sz w:val="36"/>
          <w:szCs w:val="36"/>
        </w:rPr>
      </w:pPr>
      <w:bookmarkStart w:id="84" w:name="_Toc29612"/>
      <w:r>
        <w:rPr>
          <w:rFonts w:hint="eastAsia" w:ascii="方正小标宋_GBK" w:hAnsi="方正小标宋_GBK" w:eastAsia="方正小标宋_GBK" w:cs="方正小标宋_GBK"/>
          <w:color w:val="000000"/>
          <w:sz w:val="36"/>
          <w:szCs w:val="36"/>
        </w:rPr>
        <w:t>第六篇  响应文件编制要求</w:t>
      </w:r>
      <w:bookmarkEnd w:id="62"/>
      <w:bookmarkEnd w:id="84"/>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一、响应文件封面</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二、经济部分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注：此部分不装订在响应文件中，应作为报价，另单独密封</w:t>
      </w:r>
      <w:r>
        <w:rPr>
          <w:rFonts w:hint="eastAsia" w:ascii="方正仿宋_GBK" w:hAnsi="方正仿宋_GBK" w:eastAsia="方正仿宋_GBK" w:cs="方正仿宋_GBK"/>
          <w:color w:val="000000"/>
          <w:sz w:val="24"/>
          <w:szCs w:val="24"/>
          <w:lang w:eastAsia="zh-CN"/>
        </w:rPr>
        <w:t>）</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（一）竞争性磋商第一次报价函</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（二）明细报价表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三、技术部分</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（一）技术方案</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（二）技术响应偏离表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（三）技术评审需提供的材料（格式自定）</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四、商务部分</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（一）商务要求响应情况：</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（二）商务响应偏离表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（三）商务评审需提供的资料（格式自定）</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（四）其它优惠承诺（格式自定）</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五、资格条件及其他</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（一）一般资格条件</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（二）特定资格条件</w:t>
      </w:r>
    </w:p>
    <w:p>
      <w:pPr>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（三）其他应提供的资料</w:t>
      </w:r>
    </w:p>
    <w:p>
      <w:pPr>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6"/>
        <w:spacing w:line="480" w:lineRule="exact"/>
        <w:rPr>
          <w:rFonts w:ascii="方正仿宋_GBK" w:hAnsi="方正仿宋_GBK" w:eastAsia="方正仿宋_GBK" w:cs="方正仿宋_GBK"/>
          <w:b w:val="0"/>
          <w:color w:val="000000"/>
          <w:sz w:val="24"/>
          <w:szCs w:val="24"/>
        </w:rPr>
      </w:pPr>
      <w:bookmarkStart w:id="85" w:name="_Toc333412485"/>
      <w:bookmarkStart w:id="86" w:name="_Toc328052593"/>
      <w:bookmarkStart w:id="87" w:name="_Toc377402559"/>
      <w:bookmarkStart w:id="88" w:name="_Toc350093071"/>
      <w:bookmarkStart w:id="89" w:name="_Toc433792168"/>
      <w:bookmarkStart w:id="90" w:name="_Toc375841207"/>
      <w:bookmarkStart w:id="91" w:name="_Toc350435647"/>
      <w:bookmarkStart w:id="92" w:name="_Toc332630166"/>
      <w:bookmarkStart w:id="93" w:name="_Toc375666796"/>
      <w:bookmarkStart w:id="94" w:name="_Toc375840799"/>
      <w:bookmarkStart w:id="95" w:name="_Toc294083526"/>
      <w:bookmarkStart w:id="96" w:name="_Toc2818"/>
      <w:bookmarkStart w:id="97" w:name="_Toc313008356"/>
      <w:bookmarkStart w:id="98" w:name="_Toc313888360"/>
      <w:bookmarkStart w:id="99" w:name="_Toc342913419"/>
      <w:bookmarkStart w:id="100" w:name="_Toc12789073"/>
      <w:bookmarkStart w:id="101" w:name="_Toc283382454"/>
      <w:r>
        <w:rPr>
          <w:rFonts w:hint="eastAsia" w:ascii="方正仿宋_GBK" w:hAnsi="方正仿宋_GBK" w:eastAsia="方正仿宋_GBK" w:cs="方正仿宋_GBK"/>
          <w:b w:val="0"/>
          <w:color w:val="000000"/>
          <w:sz w:val="24"/>
          <w:szCs w:val="24"/>
        </w:rPr>
        <w:t>一、响应文件封面</w:t>
      </w:r>
      <w:bookmarkEnd w:id="85"/>
      <w:bookmarkEnd w:id="86"/>
      <w:bookmarkEnd w:id="87"/>
      <w:bookmarkEnd w:id="88"/>
      <w:bookmarkEnd w:id="89"/>
      <w:bookmarkEnd w:id="90"/>
      <w:bookmarkEnd w:id="91"/>
      <w:bookmarkEnd w:id="92"/>
      <w:bookmarkEnd w:id="93"/>
      <w:bookmarkEnd w:id="94"/>
      <w:bookmarkEnd w:id="95"/>
      <w:bookmarkEnd w:id="96"/>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tabs>
          <w:tab w:val="left" w:pos="3600"/>
          <w:tab w:val="left" w:pos="4480"/>
          <w:tab w:val="left" w:pos="5360"/>
        </w:tabs>
        <w:autoSpaceDE w:val="0"/>
        <w:autoSpaceDN w:val="0"/>
        <w:adjustRightInd w:val="0"/>
        <w:snapToGrid w:val="0"/>
        <w:spacing w:line="360" w:lineRule="auto"/>
        <w:jc w:val="left"/>
        <w:rPr>
          <w:rFonts w:ascii="方正仿宋_GBK" w:hAnsi="方正仿宋_GBK" w:eastAsia="方正仿宋_GBK" w:cs="方正仿宋_GBK"/>
          <w:color w:val="000000"/>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kern w:val="0"/>
          <w:sz w:val="24"/>
          <w:szCs w:val="24"/>
          <w:lang w:val="en-US" w:eastAsia="zh-CN"/>
        </w:rPr>
        <w:t>竞争性</w:t>
      </w:r>
      <w:r>
        <w:rPr>
          <w:rFonts w:hint="eastAsia" w:ascii="方正仿宋_GBK" w:hAnsi="方正仿宋_GBK" w:eastAsia="方正仿宋_GBK" w:cs="方正仿宋_GBK"/>
          <w:b/>
          <w:color w:val="000000"/>
          <w:kern w:val="0"/>
          <w:sz w:val="24"/>
          <w:szCs w:val="24"/>
        </w:rPr>
        <w:t>磋商响应文件</w:t>
      </w:r>
    </w:p>
    <w:p>
      <w:pPr>
        <w:tabs>
          <w:tab w:val="left" w:pos="3600"/>
          <w:tab w:val="left" w:pos="4480"/>
          <w:tab w:val="left" w:pos="5360"/>
        </w:tabs>
        <w:autoSpaceDE w:val="0"/>
        <w:autoSpaceDN w:val="0"/>
        <w:adjustRightInd w:val="0"/>
        <w:snapToGrid w:val="0"/>
        <w:spacing w:line="360" w:lineRule="auto"/>
        <w:jc w:val="center"/>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color w:val="000000"/>
          <w:kern w:val="0"/>
          <w:sz w:val="24"/>
          <w:szCs w:val="24"/>
        </w:rPr>
      </w:pPr>
    </w:p>
    <w:p>
      <w:pPr>
        <w:tabs>
          <w:tab w:val="left" w:pos="6904"/>
        </w:tabs>
        <w:autoSpaceDE w:val="0"/>
        <w:autoSpaceDN w:val="0"/>
        <w:adjustRightInd w:val="0"/>
        <w:snapToGrid w:val="0"/>
        <w:spacing w:line="360" w:lineRule="auto"/>
        <w:ind w:firstLine="816" w:firstLineChars="343"/>
        <w:jc w:val="left"/>
        <w:rPr>
          <w:rFonts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w w:val="99"/>
          <w:kern w:val="0"/>
          <w:sz w:val="24"/>
          <w:szCs w:val="24"/>
        </w:rPr>
        <w:t>项目名称：</w:t>
      </w:r>
    </w:p>
    <w:p>
      <w:pPr>
        <w:tabs>
          <w:tab w:val="left" w:pos="6904"/>
        </w:tabs>
        <w:autoSpaceDE w:val="0"/>
        <w:autoSpaceDN w:val="0"/>
        <w:adjustRightInd w:val="0"/>
        <w:snapToGrid w:val="0"/>
        <w:spacing w:line="360" w:lineRule="auto"/>
        <w:ind w:firstLine="826" w:firstLineChars="343"/>
        <w:jc w:val="left"/>
        <w:rPr>
          <w:rFonts w:ascii="方正仿宋_GBK" w:hAnsi="方正仿宋_GBK" w:eastAsia="方正仿宋_GBK" w:cs="方正仿宋_GBK"/>
          <w:b/>
          <w:color w:val="000000"/>
          <w:kern w:val="0"/>
          <w:sz w:val="24"/>
          <w:szCs w:val="24"/>
          <w:u w:val="single"/>
        </w:rPr>
      </w:pPr>
      <w:r>
        <w:rPr>
          <w:rFonts w:hint="eastAsia" w:ascii="方正仿宋_GBK" w:hAnsi="方正仿宋_GBK" w:eastAsia="方正仿宋_GBK" w:cs="方正仿宋_GBK"/>
          <w:b/>
          <w:color w:val="000000"/>
          <w:kern w:val="0"/>
          <w:sz w:val="24"/>
          <w:szCs w:val="24"/>
        </w:rPr>
        <w:t>项目编号：</w:t>
      </w: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u w:val="single"/>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tabs>
          <w:tab w:val="left" w:pos="6080"/>
          <w:tab w:val="left" w:pos="6640"/>
        </w:tabs>
        <w:autoSpaceDE w:val="0"/>
        <w:autoSpaceDN w:val="0"/>
        <w:adjustRightInd w:val="0"/>
        <w:snapToGrid w:val="0"/>
        <w:spacing w:line="360" w:lineRule="auto"/>
        <w:ind w:firstLine="1071" w:firstLineChars="450"/>
        <w:rPr>
          <w:rFonts w:ascii="方正仿宋_GBK" w:hAnsi="方正仿宋_GBK" w:eastAsia="方正仿宋_GBK" w:cs="方正仿宋_GBK"/>
          <w:b/>
          <w:color w:val="000000"/>
          <w:w w:val="99"/>
          <w:kern w:val="0"/>
          <w:sz w:val="24"/>
          <w:szCs w:val="24"/>
        </w:rPr>
      </w:pPr>
      <w:r>
        <w:rPr>
          <w:rFonts w:hint="eastAsia" w:ascii="方正仿宋_GBK" w:hAnsi="方正仿宋_GBK" w:eastAsia="方正仿宋_GBK" w:cs="方正仿宋_GBK"/>
          <w:b/>
          <w:color w:val="000000"/>
          <w:w w:val="99"/>
          <w:kern w:val="0"/>
          <w:sz w:val="24"/>
          <w:szCs w:val="24"/>
        </w:rPr>
        <w:t>磋商供应商</w:t>
      </w:r>
      <w:r>
        <w:rPr>
          <w:rFonts w:hint="eastAsia" w:ascii="方正仿宋_GBK" w:hAnsi="方正仿宋_GBK" w:eastAsia="方正仿宋_GBK" w:cs="方正仿宋_GBK"/>
          <w:b/>
          <w:color w:val="000000"/>
          <w:spacing w:val="1"/>
          <w:w w:val="99"/>
          <w:kern w:val="0"/>
          <w:sz w:val="24"/>
          <w:szCs w:val="24"/>
        </w:rPr>
        <w:t>：</w:t>
      </w:r>
      <w:r>
        <w:rPr>
          <w:rFonts w:hint="eastAsia" w:ascii="方正仿宋_GBK" w:hAnsi="方正仿宋_GBK" w:eastAsia="方正仿宋_GBK" w:cs="方正仿宋_GBK"/>
          <w:b/>
          <w:color w:val="000000"/>
          <w:w w:val="198"/>
          <w:kern w:val="0"/>
          <w:sz w:val="24"/>
          <w:szCs w:val="24"/>
          <w:u w:val="single"/>
        </w:rPr>
        <w:t xml:space="preserve"> 　　　　 　　</w:t>
      </w:r>
      <w:r>
        <w:rPr>
          <w:rFonts w:hint="eastAsia" w:ascii="方正仿宋_GBK" w:hAnsi="方正仿宋_GBK" w:eastAsia="方正仿宋_GBK" w:cs="方正仿宋_GBK"/>
          <w:b/>
          <w:color w:val="000000"/>
          <w:w w:val="99"/>
          <w:kern w:val="0"/>
          <w:sz w:val="24"/>
          <w:szCs w:val="24"/>
        </w:rPr>
        <w:t>（公章）</w:t>
      </w:r>
    </w:p>
    <w:p>
      <w:pPr>
        <w:tabs>
          <w:tab w:val="left" w:pos="6080"/>
          <w:tab w:val="left" w:pos="6640"/>
        </w:tabs>
        <w:autoSpaceDE w:val="0"/>
        <w:autoSpaceDN w:val="0"/>
        <w:adjustRightInd w:val="0"/>
        <w:snapToGrid w:val="0"/>
        <w:spacing w:line="360" w:lineRule="auto"/>
        <w:ind w:firstLine="1071" w:firstLineChars="450"/>
        <w:rPr>
          <w:rFonts w:ascii="方正仿宋_GBK" w:hAnsi="方正仿宋_GBK" w:eastAsia="方正仿宋_GBK" w:cs="方正仿宋_GBK"/>
          <w:b/>
          <w:color w:val="000000"/>
          <w:w w:val="99"/>
          <w:kern w:val="0"/>
          <w:sz w:val="24"/>
          <w:szCs w:val="24"/>
        </w:rPr>
      </w:pPr>
      <w:r>
        <w:rPr>
          <w:rFonts w:hint="eastAsia" w:ascii="方正仿宋_GBK" w:hAnsi="方正仿宋_GBK" w:eastAsia="方正仿宋_GBK" w:cs="方正仿宋_GBK"/>
          <w:b/>
          <w:color w:val="000000"/>
          <w:w w:val="99"/>
          <w:kern w:val="0"/>
          <w:sz w:val="24"/>
          <w:szCs w:val="24"/>
        </w:rPr>
        <w:t>法定代表人或其授权代表：</w:t>
      </w:r>
      <w:r>
        <w:rPr>
          <w:rFonts w:hint="eastAsia" w:ascii="方正仿宋_GBK" w:hAnsi="方正仿宋_GBK" w:eastAsia="方正仿宋_GBK" w:cs="方正仿宋_GBK"/>
          <w:b/>
          <w:color w:val="000000"/>
          <w:w w:val="198"/>
          <w:kern w:val="0"/>
          <w:sz w:val="24"/>
          <w:szCs w:val="24"/>
          <w:u w:val="single"/>
        </w:rPr>
        <w:t xml:space="preserve"> 　　 　</w:t>
      </w:r>
      <w:r>
        <w:rPr>
          <w:rFonts w:hint="eastAsia" w:ascii="方正仿宋_GBK" w:hAnsi="方正仿宋_GBK" w:eastAsia="方正仿宋_GBK" w:cs="方正仿宋_GBK"/>
          <w:b/>
          <w:color w:val="000000"/>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w w:val="99"/>
          <w:kern w:val="0"/>
          <w:sz w:val="24"/>
          <w:szCs w:val="24"/>
          <w:u w:val="single"/>
        </w:rPr>
        <w:t xml:space="preserve">     　</w:t>
      </w:r>
      <w:r>
        <w:rPr>
          <w:rFonts w:hint="eastAsia" w:ascii="方正仿宋_GBK" w:hAnsi="方正仿宋_GBK" w:eastAsia="方正仿宋_GBK" w:cs="方正仿宋_GBK"/>
          <w:b/>
          <w:color w:val="000000"/>
          <w:w w:val="99"/>
          <w:kern w:val="0"/>
          <w:sz w:val="24"/>
          <w:szCs w:val="24"/>
        </w:rPr>
        <w:t>年月日</w:t>
      </w:r>
    </w:p>
    <w:p>
      <w:pPr>
        <w:pStyle w:val="6"/>
        <w:spacing w:line="480" w:lineRule="exact"/>
        <w:rPr>
          <w:rFonts w:ascii="方正仿宋_GBK" w:hAnsi="方正仿宋_GBK" w:eastAsia="方正仿宋_GBK" w:cs="方正仿宋_GBK"/>
          <w:b w:val="0"/>
          <w:color w:val="000000"/>
          <w:sz w:val="24"/>
          <w:szCs w:val="24"/>
        </w:rPr>
      </w:pPr>
      <w:bookmarkStart w:id="102" w:name="_Toc433792169"/>
      <w:r>
        <w:rPr>
          <w:rFonts w:hint="eastAsia" w:ascii="方正仿宋_GBK" w:hAnsi="方正仿宋_GBK" w:eastAsia="方正仿宋_GBK" w:cs="方正仿宋_GBK"/>
          <w:b w:val="0"/>
          <w:color w:val="000000"/>
          <w:sz w:val="24"/>
          <w:szCs w:val="24"/>
        </w:rPr>
        <w:br w:type="page"/>
      </w:r>
      <w:bookmarkStart w:id="103" w:name="_Toc6779"/>
      <w:r>
        <w:rPr>
          <w:rFonts w:hint="eastAsia" w:ascii="方正仿宋_GBK" w:hAnsi="方正仿宋_GBK" w:eastAsia="方正仿宋_GBK" w:cs="方正仿宋_GBK"/>
          <w:b w:val="0"/>
          <w:color w:val="000000"/>
          <w:sz w:val="24"/>
          <w:szCs w:val="24"/>
        </w:rPr>
        <w:t>二、经济部分</w:t>
      </w:r>
      <w:bookmarkEnd w:id="97"/>
      <w:bookmarkEnd w:id="98"/>
      <w:bookmarkEnd w:id="99"/>
      <w:bookmarkEnd w:id="102"/>
      <w:bookmarkEnd w:id="103"/>
    </w:p>
    <w:bookmarkEnd w:id="100"/>
    <w:bookmarkEnd w:id="101"/>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（一）竞争性磋商第一次报价函</w:t>
      </w:r>
    </w:p>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竞争性磋商第一次报价函</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（采购人单位名称）</w:t>
      </w:r>
      <w:r>
        <w:rPr>
          <w:rFonts w:hint="eastAsia" w:ascii="方正仿宋_GBK" w:hAnsi="方正仿宋_GBK" w:eastAsia="方正仿宋_GBK" w:cs="方正仿宋_GBK"/>
          <w:color w:val="000000"/>
          <w:sz w:val="24"/>
          <w:szCs w:val="24"/>
        </w:rPr>
        <w:t>：</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我方收到____________________________（磋商项目名称）的竞争性磋商文件，经详细研究，决定参加该磋商项目的磋商。</w:t>
      </w:r>
    </w:p>
    <w:p>
      <w:pPr>
        <w:tabs>
          <w:tab w:val="left" w:pos="6300"/>
        </w:tabs>
        <w:snapToGrid w:val="0"/>
        <w:spacing w:line="480" w:lineRule="exact"/>
        <w:ind w:left="420" w:leftChars="150" w:firstLine="120" w:firstLineChars="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1．愿意按照竞争性磋商文件中的一切要求，提供本项目的</w:t>
      </w:r>
      <w:r>
        <w:rPr>
          <w:rFonts w:hint="eastAsia" w:ascii="方正仿宋_GBK" w:hAnsi="方正仿宋_GBK" w:eastAsia="方正仿宋_GBK" w:cs="方正仿宋_GBK"/>
          <w:color w:val="000000"/>
          <w:sz w:val="24"/>
          <w:szCs w:val="24"/>
          <w:lang w:val="en-US" w:eastAsia="zh-CN"/>
        </w:rPr>
        <w:t>代理</w:t>
      </w:r>
      <w:r>
        <w:rPr>
          <w:rFonts w:hint="eastAsia" w:ascii="方正仿宋_GBK" w:hAnsi="方正仿宋_GBK" w:eastAsia="方正仿宋_GBK" w:cs="方正仿宋_GBK"/>
          <w:color w:val="000000"/>
          <w:sz w:val="24"/>
          <w:szCs w:val="24"/>
        </w:rPr>
        <w:t>服务，初始代理费率为:</w:t>
      </w:r>
      <w:r>
        <w:rPr>
          <w:rFonts w:hint="eastAsia" w:ascii="宋体" w:hAnsi="宋体" w:cs="Arial"/>
          <w:sz w:val="28"/>
          <w:szCs w:val="28"/>
          <w:u w:val="single"/>
          <w:lang w:val="en-US" w:eastAsia="zh-CN"/>
        </w:rPr>
        <w:t xml:space="preserve">        </w:t>
      </w:r>
      <w:r>
        <w:rPr>
          <w:rFonts w:hint="eastAsia" w:ascii="方正仿宋_GBK" w:hAnsi="方正仿宋_GBK" w:eastAsia="方正仿宋_GBK" w:cs="方正仿宋_GBK"/>
          <w:color w:val="000000"/>
          <w:sz w:val="24"/>
          <w:szCs w:val="24"/>
        </w:rPr>
        <w:t>，以我公司最后报价为准。</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2．我方现提交的响应文件为：响应文件正本份，副本份，电子文档份。</w:t>
      </w:r>
    </w:p>
    <w:p>
      <w:pPr>
        <w:tabs>
          <w:tab w:val="left" w:pos="6300"/>
        </w:tabs>
        <w:snapToGrid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3．我方承诺：本次磋商的有效期为90天。</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 xml:space="preserve">4. </w:t>
      </w:r>
      <w:r>
        <w:rPr>
          <w:rFonts w:hint="eastAsia" w:ascii="方正仿宋_GBK" w:hAnsi="方正仿宋_GBK" w:eastAsia="方正仿宋_GBK" w:cs="方正仿宋_GBK"/>
          <w:color w:val="000000"/>
          <w:kern w:val="2"/>
          <w:sz w:val="24"/>
          <w:szCs w:val="24"/>
          <w:lang w:val="en-US" w:eastAsia="zh-CN" w:bidi="ar-SA"/>
        </w:rPr>
        <w:t>我方</w:t>
      </w:r>
      <w:r>
        <w:rPr>
          <w:rFonts w:hint="eastAsia" w:ascii="方正仿宋_GBK" w:hAnsi="方正仿宋_GBK" w:eastAsia="方正仿宋_GBK" w:cs="方正仿宋_GBK"/>
          <w:color w:val="000000"/>
          <w:sz w:val="24"/>
          <w:szCs w:val="24"/>
        </w:rPr>
        <w:t>承诺：</w:t>
      </w:r>
      <w:r>
        <w:rPr>
          <w:rFonts w:hint="eastAsia" w:ascii="方正仿宋_GBK" w:hAnsi="方正仿宋_GBK" w:eastAsia="方正仿宋_GBK" w:cs="方正仿宋_GBK"/>
          <w:color w:val="000000"/>
          <w:kern w:val="2"/>
          <w:sz w:val="24"/>
          <w:szCs w:val="24"/>
          <w:lang w:val="en-US" w:eastAsia="zh-CN" w:bidi="ar-SA"/>
        </w:rPr>
        <w:t>代理费率在磋商有效期和合同有效期内，该费率固定不变。</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．我方完全理解和接受贵方竞争性磋商文件的一切规定和要求及磋商评审办法。</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5．在整个竞争性磋商过程中，我方若有违规行为，接受按照《中华人民共和国政府采购法》和《竞争性磋商文件》之规定给予惩罚。</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7．我方理解，最低费率不是中标的唯一条件。</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地址：  </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电话：                           传真：</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网址：                           邮编：</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联系人：</w:t>
      </w:r>
    </w:p>
    <w:p>
      <w:pPr>
        <w:snapToGrid w:val="0"/>
        <w:spacing w:line="480" w:lineRule="exact"/>
        <w:ind w:firstLine="480" w:firstLineChars="200"/>
        <w:rPr>
          <w:rFonts w:ascii="方正仿宋_GBK" w:hAnsi="方正仿宋_GBK" w:eastAsia="方正仿宋_GBK" w:cs="方正仿宋_GBK"/>
          <w:color w:val="000000"/>
          <w:sz w:val="24"/>
          <w:szCs w:val="24"/>
        </w:rPr>
      </w:pPr>
    </w:p>
    <w:p>
      <w:pPr>
        <w:snapToGrid w:val="0"/>
        <w:spacing w:line="480" w:lineRule="exact"/>
        <w:ind w:firstLine="5280" w:firstLineChars="2200"/>
        <w:rPr>
          <w:rFonts w:ascii="方正仿宋_GBK" w:hAnsi="方正仿宋_GBK" w:eastAsia="方正仿宋_GBK" w:cs="方正仿宋_GBK"/>
          <w:color w:val="000000"/>
          <w:sz w:val="24"/>
          <w:szCs w:val="24"/>
        </w:rPr>
        <w:sectPr>
          <w:pgSz w:w="11907" w:h="16840"/>
          <w:pgMar w:top="1134" w:right="1191" w:bottom="1134" w:left="1304" w:header="851" w:footer="992" w:gutter="0"/>
          <w:pgNumType w:fmt="decimal"/>
          <w:cols w:space="720" w:num="1"/>
          <w:docGrid w:linePitch="380" w:charSpace="-5735"/>
        </w:sectPr>
      </w:pPr>
      <w:r>
        <w:rPr>
          <w:rFonts w:hint="eastAsia" w:ascii="方正仿宋_GBK" w:hAnsi="方正仿宋_GBK" w:eastAsia="方正仿宋_GBK" w:cs="方正仿宋_GBK"/>
          <w:color w:val="000000"/>
          <w:sz w:val="24"/>
          <w:szCs w:val="24"/>
        </w:rPr>
        <w:t xml:space="preserve">  年   月   日</w:t>
      </w:r>
    </w:p>
    <w:p>
      <w:pPr>
        <w:tabs>
          <w:tab w:val="left" w:pos="2895"/>
        </w:tabs>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（二）明细报价表</w:t>
      </w:r>
    </w:p>
    <w:p>
      <w:pPr>
        <w:spacing w:line="480" w:lineRule="exact"/>
        <w:ind w:right="480" w:firstLine="6480" w:firstLineChars="2700"/>
        <w:rPr>
          <w:rFonts w:ascii="方正仿宋_GBK" w:hAnsi="方正仿宋_GBK" w:eastAsia="方正仿宋_GBK" w:cs="方正仿宋_GBK"/>
          <w:color w:val="000000"/>
          <w:sz w:val="24"/>
          <w:szCs w:val="24"/>
        </w:rPr>
      </w:pPr>
    </w:p>
    <w:p>
      <w:pPr>
        <w:spacing w:line="48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明细报价表</w:t>
      </w:r>
    </w:p>
    <w:p>
      <w:pPr>
        <w:spacing w:line="480" w:lineRule="exact"/>
        <w:rPr>
          <w:rFonts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项目名称：</w:t>
      </w:r>
    </w:p>
    <w:tbl>
      <w:tblPr>
        <w:tblStyle w:val="67"/>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651"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1695"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名称</w:t>
            </w:r>
          </w:p>
        </w:tc>
        <w:tc>
          <w:tcPr>
            <w:tcW w:w="340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相关信息</w:t>
            </w: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数量</w:t>
            </w: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单价</w:t>
            </w: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1695" w:type="dxa"/>
            <w:vAlign w:val="center"/>
          </w:tcPr>
          <w:p>
            <w:pPr>
              <w:jc w:val="center"/>
              <w:rPr>
                <w:rFonts w:ascii="方正仿宋_GBK" w:hAnsi="方正仿宋_GBK" w:eastAsia="方正仿宋_GBK" w:cs="方正仿宋_GBK"/>
                <w:color w:val="000000"/>
                <w:sz w:val="24"/>
                <w:szCs w:val="24"/>
              </w:rPr>
            </w:pP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p>
        </w:tc>
        <w:tc>
          <w:tcPr>
            <w:tcW w:w="1695"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人工费</w:t>
            </w: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p>
        </w:tc>
        <w:tc>
          <w:tcPr>
            <w:tcW w:w="1695"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运输费</w:t>
            </w: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1695"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其他费用</w:t>
            </w: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p>
        </w:tc>
        <w:tc>
          <w:tcPr>
            <w:tcW w:w="1695"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c>
          <w:tcPr>
            <w:tcW w:w="3404" w:type="dxa"/>
          </w:tcPr>
          <w:p>
            <w:pPr>
              <w:jc w:val="center"/>
              <w:rPr>
                <w:rFonts w:ascii="方正仿宋_GBK" w:hAnsi="方正仿宋_GBK" w:eastAsia="方正仿宋_GBK" w:cs="方正仿宋_GBK"/>
                <w:color w:val="000000"/>
                <w:sz w:val="24"/>
                <w:szCs w:val="24"/>
              </w:rPr>
            </w:pPr>
          </w:p>
        </w:tc>
        <w:tc>
          <w:tcPr>
            <w:tcW w:w="1344"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tc>
        <w:tc>
          <w:tcPr>
            <w:tcW w:w="1344" w:type="dxa"/>
          </w:tcPr>
          <w:p>
            <w:pPr>
              <w:jc w:val="center"/>
              <w:rPr>
                <w:rFonts w:ascii="方正仿宋_GBK" w:hAnsi="方正仿宋_GBK" w:eastAsia="方正仿宋_GBK" w:cs="方正仿宋_GBK"/>
                <w:color w:val="000000"/>
                <w:sz w:val="24"/>
                <w:szCs w:val="24"/>
              </w:rPr>
            </w:pPr>
          </w:p>
        </w:tc>
        <w:tc>
          <w:tcPr>
            <w:tcW w:w="1344" w:type="dxa"/>
          </w:tcPr>
          <w:p>
            <w:pPr>
              <w:jc w:val="center"/>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51" w:type="dxa"/>
            <w:vAlign w:val="center"/>
          </w:tcPr>
          <w:p>
            <w:pPr>
              <w:pStyle w:val="25"/>
              <w:spacing w:line="240" w:lineRule="atLeast"/>
              <w:ind w:left="3920"/>
              <w:jc w:val="center"/>
              <w:outlineLvl w:val="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w:t>
            </w:r>
          </w:p>
        </w:tc>
        <w:tc>
          <w:tcPr>
            <w:tcW w:w="1695" w:type="dxa"/>
            <w:vAlign w:val="center"/>
          </w:tcPr>
          <w:p>
            <w:pPr>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总计</w:t>
            </w:r>
          </w:p>
        </w:tc>
        <w:tc>
          <w:tcPr>
            <w:tcW w:w="7436" w:type="dxa"/>
            <w:gridSpan w:val="4"/>
          </w:tcPr>
          <w:p>
            <w:pPr>
              <w:rPr>
                <w:rFonts w:ascii="方正仿宋_GBK" w:hAnsi="方正仿宋_GBK" w:eastAsia="方正仿宋_GBK" w:cs="方正仿宋_GBK"/>
                <w:color w:val="000000"/>
                <w:sz w:val="24"/>
                <w:szCs w:val="24"/>
              </w:rPr>
            </w:pPr>
          </w:p>
        </w:tc>
      </w:tr>
    </w:tbl>
    <w:p>
      <w:pPr>
        <w:snapToGrid w:val="0"/>
        <w:spacing w:line="480" w:lineRule="exact"/>
        <w:rPr>
          <w:rFonts w:ascii="方正仿宋_GBK" w:hAnsi="方正仿宋_GBK" w:eastAsia="方正仿宋_GBK" w:cs="方正仿宋_GBK"/>
          <w:color w:val="000000"/>
          <w:sz w:val="24"/>
          <w:szCs w:val="24"/>
        </w:rPr>
      </w:pPr>
    </w:p>
    <w:p>
      <w:pPr>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注：1.请供应商完整填写本表。</w:t>
      </w:r>
    </w:p>
    <w:p>
      <w:pPr>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2.该表可扩展</w:t>
      </w:r>
      <w:bookmarkStart w:id="104" w:name="OLE_LINK1"/>
      <w:bookmarkStart w:id="105" w:name="OLE_LINK2"/>
      <w:r>
        <w:rPr>
          <w:rFonts w:hint="eastAsia" w:ascii="方正仿宋_GBK" w:hAnsi="方正仿宋_GBK" w:eastAsia="方正仿宋_GBK" w:cs="方正仿宋_GBK"/>
          <w:color w:val="000000"/>
          <w:sz w:val="24"/>
          <w:szCs w:val="24"/>
        </w:rPr>
        <w:t>，并逐页签字或盖章。</w:t>
      </w:r>
      <w:bookmarkEnd w:id="104"/>
      <w:bookmarkEnd w:id="105"/>
    </w:p>
    <w:p>
      <w:pPr>
        <w:snapToGrid w:val="0"/>
        <w:spacing w:line="480" w:lineRule="exact"/>
        <w:ind w:firstLine="960" w:firstLineChars="4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3．该表可根据项目实际情况调整。</w:t>
      </w:r>
    </w:p>
    <w:p>
      <w:pPr>
        <w:pStyle w:val="41"/>
        <w:spacing w:line="480" w:lineRule="exact"/>
        <w:rPr>
          <w:rFonts w:ascii="方正仿宋_GBK" w:hAnsi="方正仿宋_GBK" w:eastAsia="方正仿宋_GBK" w:cs="方正仿宋_GBK"/>
          <w:color w:val="000000"/>
          <w:sz w:val="24"/>
          <w:szCs w:val="24"/>
        </w:rPr>
      </w:pPr>
    </w:p>
    <w:p>
      <w:pPr>
        <w:pStyle w:val="41"/>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供应商名称（公章）：</w:t>
      </w:r>
    </w:p>
    <w:p>
      <w:pPr>
        <w:spacing w:line="480" w:lineRule="exact"/>
        <w:ind w:right="480" w:firstLine="6480" w:firstLineChars="27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spacing w:line="480" w:lineRule="exact"/>
        <w:ind w:right="480" w:firstLine="6480" w:firstLineChars="2700"/>
        <w:rPr>
          <w:rFonts w:ascii="方正仿宋_GBK" w:hAnsi="方正仿宋_GBK" w:eastAsia="方正仿宋_GBK" w:cs="方正仿宋_GBK"/>
          <w:color w:val="000000"/>
          <w:sz w:val="24"/>
          <w:szCs w:val="24"/>
        </w:rPr>
      </w:pPr>
    </w:p>
    <w:p>
      <w:pPr>
        <w:spacing w:line="480" w:lineRule="exact"/>
        <w:ind w:right="480" w:firstLine="6480" w:firstLineChars="2700"/>
        <w:rPr>
          <w:rFonts w:ascii="方正仿宋_GBK" w:hAnsi="方正仿宋_GBK" w:eastAsia="方正仿宋_GBK" w:cs="方正仿宋_GBK"/>
          <w:color w:val="000000"/>
          <w:sz w:val="24"/>
          <w:szCs w:val="24"/>
        </w:rPr>
      </w:pPr>
    </w:p>
    <w:p>
      <w:pPr>
        <w:spacing w:line="480" w:lineRule="exact"/>
        <w:ind w:right="480" w:firstLine="6480" w:firstLineChars="2700"/>
        <w:rPr>
          <w:rFonts w:ascii="方正仿宋_GBK" w:hAnsi="方正仿宋_GBK" w:eastAsia="方正仿宋_GBK" w:cs="方正仿宋_GBK"/>
          <w:color w:val="000000"/>
          <w:sz w:val="24"/>
          <w:szCs w:val="24"/>
        </w:rPr>
      </w:pPr>
    </w:p>
    <w:p>
      <w:pPr>
        <w:spacing w:line="480" w:lineRule="exact"/>
        <w:ind w:right="480" w:firstLine="6480" w:firstLineChars="2700"/>
        <w:rPr>
          <w:rFonts w:ascii="方正仿宋_GBK" w:hAnsi="方正仿宋_GBK" w:eastAsia="方正仿宋_GBK" w:cs="方正仿宋_GBK"/>
          <w:color w:val="000000"/>
          <w:sz w:val="24"/>
          <w:szCs w:val="24"/>
        </w:rPr>
      </w:pPr>
    </w:p>
    <w:p>
      <w:pPr>
        <w:spacing w:line="480" w:lineRule="exact"/>
        <w:ind w:right="480" w:firstLine="6480" w:firstLineChars="2700"/>
        <w:rPr>
          <w:rFonts w:ascii="方正仿宋_GBK" w:hAnsi="方正仿宋_GBK" w:eastAsia="方正仿宋_GBK" w:cs="方正仿宋_GBK"/>
          <w:color w:val="000000"/>
          <w:sz w:val="24"/>
          <w:szCs w:val="24"/>
        </w:rPr>
      </w:pPr>
    </w:p>
    <w:p>
      <w:pPr>
        <w:pStyle w:val="6"/>
        <w:spacing w:line="480" w:lineRule="exact"/>
        <w:ind w:firstLine="470" w:firstLineChars="196"/>
        <w:rPr>
          <w:rFonts w:ascii="方正仿宋_GBK" w:hAnsi="方正仿宋_GBK" w:eastAsia="方正仿宋_GBK" w:cs="方正仿宋_GBK"/>
          <w:b w:val="0"/>
          <w:color w:val="000000"/>
          <w:sz w:val="24"/>
          <w:szCs w:val="24"/>
        </w:rPr>
      </w:pPr>
      <w:bookmarkStart w:id="106" w:name="_Toc313008357"/>
      <w:bookmarkStart w:id="107" w:name="_Toc433792170"/>
      <w:bookmarkStart w:id="108" w:name="_Toc313888361"/>
      <w:bookmarkStart w:id="109" w:name="_Toc342913420"/>
      <w:bookmarkStart w:id="110" w:name="_Toc23440"/>
      <w:r>
        <w:rPr>
          <w:rFonts w:hint="eastAsia" w:ascii="方正仿宋_GBK" w:hAnsi="方正仿宋_GBK" w:eastAsia="方正仿宋_GBK" w:cs="方正仿宋_GBK"/>
          <w:b w:val="0"/>
          <w:color w:val="000000"/>
          <w:sz w:val="24"/>
          <w:szCs w:val="24"/>
        </w:rPr>
        <w:t>三、技术部分</w:t>
      </w:r>
      <w:bookmarkEnd w:id="106"/>
      <w:bookmarkEnd w:id="107"/>
      <w:bookmarkEnd w:id="108"/>
      <w:bookmarkEnd w:id="109"/>
      <w:bookmarkEnd w:id="110"/>
    </w:p>
    <w:p>
      <w:pPr>
        <w:tabs>
          <w:tab w:val="left" w:pos="6300"/>
        </w:tabs>
        <w:snapToGrid w:val="0"/>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（一）技术方案（格式自定）</w:t>
      </w:r>
    </w:p>
    <w:p>
      <w:pPr>
        <w:tabs>
          <w:tab w:val="left" w:pos="6300"/>
        </w:tabs>
        <w:snapToGrid w:val="0"/>
        <w:spacing w:line="480" w:lineRule="exact"/>
        <w:ind w:firstLine="360" w:firstLineChars="150"/>
        <w:rPr>
          <w:rFonts w:ascii="方正仿宋_GBK" w:hAnsi="方正仿宋_GBK" w:eastAsia="方正仿宋_GBK" w:cs="方正仿宋_GBK"/>
          <w:color w:val="000000"/>
          <w:sz w:val="24"/>
          <w:szCs w:val="24"/>
        </w:rPr>
      </w:pPr>
    </w:p>
    <w:p>
      <w:pPr>
        <w:tabs>
          <w:tab w:val="left" w:pos="6300"/>
        </w:tabs>
        <w:snapToGrid w:val="0"/>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（二）技术响应偏离表</w:t>
      </w:r>
    </w:p>
    <w:p>
      <w:pPr>
        <w:pStyle w:val="35"/>
        <w:tabs>
          <w:tab w:val="left" w:pos="6300"/>
        </w:tabs>
        <w:snapToGrid w:val="0"/>
        <w:spacing w:line="480" w:lineRule="exact"/>
        <w:ind w:firstLine="480" w:firstLineChars="200"/>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w:t>
      </w:r>
    </w:p>
    <w:tbl>
      <w:tblPr>
        <w:tblStyle w:val="67"/>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采购需求</w:t>
            </w: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响应情况</w:t>
            </w: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bl>
    <w:p>
      <w:pPr>
        <w:rPr>
          <w:rFonts w:ascii="方正仿宋_GBK" w:hAnsi="方正仿宋_GBK" w:eastAsia="方正仿宋_GBK" w:cs="方正仿宋_GBK"/>
          <w:color w:val="000000"/>
          <w:sz w:val="24"/>
          <w:szCs w:val="24"/>
        </w:rPr>
      </w:pPr>
    </w:p>
    <w:p>
      <w:pPr>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                                      法定代表人或其授权代表：</w:t>
      </w:r>
    </w:p>
    <w:p>
      <w:pPr>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（供应商公章）                               （签字或盖章）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1.本表即为对本项目“第二篇 采购技术需求”所列技术要求进行比较和响应；</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2.该表必须按照竞争性磋商要求逐条如实填写，根据响应情况在“差异说明”项填写正偏离或负偏离及原因，完全符合的填写“无差异”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若“响应情况”栏中仅填写“无差异”或“有差异”等内容而未作实质性参数描述，该供应商将失去成为成交供应商的资格，仅保留其合格供应商的身份</w:t>
      </w:r>
      <w:r>
        <w:rPr>
          <w:rFonts w:hint="eastAsia" w:ascii="方正仿宋_GBK" w:hAnsi="方正仿宋_GBK" w:eastAsia="方正仿宋_GBK" w:cs="方正仿宋_GBK"/>
          <w:color w:val="000000"/>
          <w:sz w:val="24"/>
          <w:szCs w:val="24"/>
          <w:lang w:eastAsia="zh-CN"/>
        </w:rPr>
        <w:t>；</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3.该表可扩展，并逐页签字或盖章；</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4．可附相关技术支撑材料。（格式自定）</w:t>
      </w:r>
      <w:bookmarkStart w:id="111" w:name="_Toc313008358"/>
      <w:bookmarkStart w:id="112" w:name="_Toc342913421"/>
      <w:bookmarkStart w:id="113" w:name="_Toc313888362"/>
    </w:p>
    <w:p>
      <w:pPr>
        <w:tabs>
          <w:tab w:val="left" w:pos="6300"/>
        </w:tabs>
        <w:snapToGrid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（三）技术评审需提供的材料（格式自定）</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p>
    <w:p>
      <w:pPr>
        <w:pStyle w:val="6"/>
        <w:spacing w:line="480" w:lineRule="exact"/>
        <w:ind w:firstLine="472" w:firstLineChars="196"/>
        <w:rPr>
          <w:rFonts w:ascii="方正仿宋_GBK" w:hAnsi="方正仿宋_GBK" w:eastAsia="方正仿宋_GBK" w:cs="方正仿宋_GBK"/>
          <w:b w:val="0"/>
          <w:color w:val="000000"/>
          <w:sz w:val="24"/>
          <w:szCs w:val="24"/>
        </w:rPr>
      </w:pPr>
      <w:r>
        <w:rPr>
          <w:rFonts w:hint="eastAsia" w:ascii="方正仿宋_GBK" w:hAnsi="方正仿宋_GBK" w:eastAsia="方正仿宋_GBK" w:cs="方正仿宋_GBK"/>
          <w:color w:val="000000"/>
          <w:sz w:val="24"/>
          <w:szCs w:val="24"/>
        </w:rPr>
        <w:br w:type="page"/>
      </w:r>
      <w:bookmarkStart w:id="114" w:name="_Toc433792171"/>
      <w:bookmarkStart w:id="115" w:name="_Toc14853"/>
      <w:r>
        <w:rPr>
          <w:rFonts w:hint="eastAsia" w:ascii="方正仿宋_GBK" w:hAnsi="方正仿宋_GBK" w:eastAsia="方正仿宋_GBK" w:cs="方正仿宋_GBK"/>
          <w:b w:val="0"/>
          <w:color w:val="000000"/>
          <w:sz w:val="24"/>
          <w:szCs w:val="24"/>
        </w:rPr>
        <w:t>四、商务部分</w:t>
      </w:r>
      <w:bookmarkEnd w:id="111"/>
      <w:bookmarkEnd w:id="112"/>
      <w:bookmarkEnd w:id="113"/>
      <w:bookmarkEnd w:id="114"/>
      <w:bookmarkEnd w:id="115"/>
    </w:p>
    <w:p>
      <w:pPr>
        <w:snapToGrid w:val="0"/>
        <w:spacing w:line="480" w:lineRule="exact"/>
        <w:ind w:firstLine="480" w:firstLineChars="200"/>
        <w:rPr>
          <w:rFonts w:ascii="方正仿宋_GBK" w:hAnsi="方正仿宋_GBK" w:eastAsia="方正仿宋_GBK" w:cs="方正仿宋_GBK"/>
          <w:color w:val="000000"/>
          <w:sz w:val="24"/>
          <w:szCs w:val="24"/>
        </w:rPr>
        <w:sectPr>
          <w:pgSz w:w="11907" w:h="16840"/>
          <w:pgMar w:top="1134" w:right="1191" w:bottom="1134" w:left="1304" w:header="851" w:footer="992" w:gutter="0"/>
          <w:pgNumType w:fmt="decimal"/>
          <w:cols w:space="720" w:num="1"/>
          <w:docGrid w:linePitch="380" w:charSpace="-5735"/>
        </w:sectPr>
      </w:pPr>
      <w:r>
        <w:rPr>
          <w:rFonts w:hint="eastAsia" w:ascii="方正仿宋_GBK" w:hAnsi="方正仿宋_GBK" w:eastAsia="方正仿宋_GBK" w:cs="方正仿宋_GBK"/>
          <w:color w:val="000000"/>
          <w:sz w:val="24"/>
          <w:szCs w:val="24"/>
        </w:rPr>
        <w:t>（一）商务要求响应情况：施工时间、施工地点、服务条款等（格式自定）</w:t>
      </w:r>
    </w:p>
    <w:p>
      <w:pPr>
        <w:spacing w:line="480" w:lineRule="exact"/>
        <w:ind w:firstLine="480" w:firstLineChars="200"/>
        <w:rPr>
          <w:rFonts w:ascii="方正仿宋_GBK" w:hAnsi="方正仿宋_GBK" w:eastAsia="方正仿宋_GBK" w:cs="方正仿宋_GBK"/>
          <w:color w:val="000000"/>
          <w:sz w:val="24"/>
          <w:szCs w:val="24"/>
        </w:rPr>
      </w:pPr>
      <w:bookmarkStart w:id="116" w:name="_Toc283382459"/>
      <w:r>
        <w:rPr>
          <w:rFonts w:hint="eastAsia" w:ascii="方正仿宋_GBK" w:hAnsi="方正仿宋_GBK" w:eastAsia="方正仿宋_GBK" w:cs="方正仿宋_GBK"/>
          <w:color w:val="000000"/>
          <w:sz w:val="24"/>
          <w:szCs w:val="24"/>
        </w:rPr>
        <w:t>（二）商务响应偏离表</w:t>
      </w:r>
    </w:p>
    <w:p>
      <w:pPr>
        <w:snapToGrid w:val="0"/>
        <w:spacing w:line="48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商务响应偏离表（本表可自行设计格式）</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对于竞争性磋商文件的商务要求，如有任何偏离请如实填写下表：</w:t>
      </w:r>
    </w:p>
    <w:tbl>
      <w:tblPr>
        <w:tblStyle w:val="6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磋商项目需求</w:t>
            </w: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响应情况</w:t>
            </w: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bl>
    <w:p>
      <w:pPr>
        <w:snapToGrid w:val="0"/>
        <w:spacing w:line="480" w:lineRule="exact"/>
        <w:ind w:firstLine="465"/>
        <w:rPr>
          <w:rFonts w:ascii="方正仿宋_GBK" w:hAnsi="方正仿宋_GBK" w:eastAsia="方正仿宋_GBK" w:cs="方正仿宋_GBK"/>
          <w:color w:val="000000"/>
          <w:sz w:val="24"/>
          <w:szCs w:val="24"/>
        </w:rPr>
      </w:pPr>
    </w:p>
    <w:p>
      <w:pPr>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                                     法定代表人或其授权代表：</w:t>
      </w:r>
    </w:p>
    <w:p>
      <w:pPr>
        <w:spacing w:line="480" w:lineRule="exact"/>
        <w:rPr>
          <w:rFonts w:ascii="方正仿宋_GBK" w:hAnsi="方正仿宋_GBK" w:eastAsia="方正仿宋_GBK" w:cs="方正仿宋_GBK"/>
          <w:color w:val="000000"/>
          <w:sz w:val="24"/>
          <w:szCs w:val="24"/>
        </w:rPr>
      </w:pPr>
    </w:p>
    <w:p>
      <w:pPr>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                                 （签字或盖章）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1.本表即为对本项目“第三篇 采购商务需求”中所列商务要求进行比较和响应；</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2.该表必须按照竞争性磋商要求逐条如实填写，根据响应情况在“差异说明”项填写正偏离或负偏离及原因，完全符合的填写“无差异”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若“响应情况”栏中仅填写“无差异”或“有差异”等内容而未作实质性参数描述，该供应商将失去成为成交供应商的资格，仅保留其合格供应商的身份</w:t>
      </w:r>
      <w:r>
        <w:rPr>
          <w:rFonts w:hint="eastAsia" w:ascii="方正仿宋_GBK" w:hAnsi="方正仿宋_GBK" w:eastAsia="方正仿宋_GBK" w:cs="方正仿宋_GBK"/>
          <w:color w:val="000000"/>
          <w:sz w:val="24"/>
          <w:szCs w:val="24"/>
          <w:lang w:eastAsia="zh-CN"/>
        </w:rPr>
        <w:t>；</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3.该表可扩展，并逐页签字或盖章</w:t>
      </w:r>
      <w:r>
        <w:rPr>
          <w:rFonts w:hint="eastAsia" w:ascii="方正仿宋_GBK" w:hAnsi="方正仿宋_GBK" w:eastAsia="方正仿宋_GBK" w:cs="方正仿宋_GBK"/>
          <w:color w:val="000000"/>
          <w:sz w:val="24"/>
          <w:szCs w:val="24"/>
          <w:lang w:eastAsia="zh-CN"/>
        </w:rPr>
        <w:t>。</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（三）商务评分需提供的资料（格式自定）</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（四）其它优惠承诺（格式自定）</w:t>
      </w:r>
    </w:p>
    <w:p>
      <w:pPr>
        <w:pStyle w:val="6"/>
        <w:spacing w:line="480" w:lineRule="exact"/>
        <w:rPr>
          <w:rFonts w:ascii="方正仿宋_GBK" w:hAnsi="方正仿宋_GBK" w:eastAsia="方正仿宋_GBK" w:cs="方正仿宋_GBK"/>
          <w:b w:val="0"/>
          <w:color w:val="000000"/>
          <w:sz w:val="24"/>
          <w:szCs w:val="24"/>
        </w:rPr>
      </w:pPr>
      <w:r>
        <w:rPr>
          <w:rFonts w:hint="eastAsia" w:ascii="方正仿宋_GBK" w:hAnsi="方正仿宋_GBK" w:eastAsia="方正仿宋_GBK" w:cs="方正仿宋_GBK"/>
          <w:b w:val="0"/>
          <w:color w:val="000000"/>
          <w:sz w:val="24"/>
          <w:szCs w:val="24"/>
        </w:rPr>
        <w:br w:type="page"/>
      </w:r>
      <w:bookmarkEnd w:id="116"/>
      <w:bookmarkStart w:id="117" w:name="_Toc313888363"/>
      <w:bookmarkStart w:id="118" w:name="_Toc313008359"/>
      <w:bookmarkStart w:id="119" w:name="_Toc433792172"/>
      <w:bookmarkStart w:id="120" w:name="_Toc342913422"/>
      <w:bookmarkStart w:id="121" w:name="_Toc10487"/>
      <w:r>
        <w:rPr>
          <w:rFonts w:hint="eastAsia" w:ascii="方正仿宋_GBK" w:hAnsi="方正仿宋_GBK" w:eastAsia="方正仿宋_GBK" w:cs="方正仿宋_GBK"/>
          <w:b w:val="0"/>
          <w:color w:val="000000"/>
          <w:sz w:val="24"/>
          <w:szCs w:val="24"/>
        </w:rPr>
        <w:t>五、资格条件及其他</w:t>
      </w:r>
      <w:bookmarkEnd w:id="117"/>
      <w:bookmarkEnd w:id="118"/>
      <w:bookmarkEnd w:id="119"/>
      <w:bookmarkEnd w:id="120"/>
      <w:bookmarkEnd w:id="121"/>
    </w:p>
    <w:p>
      <w:pPr>
        <w:rPr>
          <w:rFonts w:ascii="方正仿宋_GBK" w:hAnsi="方正仿宋_GBK" w:eastAsia="方正仿宋_GBK" w:cs="方正仿宋_GBK"/>
          <w:color w:val="000000"/>
          <w:sz w:val="24"/>
          <w:szCs w:val="24"/>
        </w:rPr>
      </w:pPr>
    </w:p>
    <w:p>
      <w:pPr>
        <w:numPr>
          <w:ilvl w:val="0"/>
          <w:numId w:val="15"/>
        </w:num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基本资格条件</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1．具有独立承担民事责任的能力；</w:t>
      </w:r>
    </w:p>
    <w:p>
      <w:pPr>
        <w:tabs>
          <w:tab w:val="left" w:pos="6300"/>
        </w:tabs>
        <w:snapToGrid w:val="0"/>
        <w:spacing w:line="5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提供营业执照复印件、组织机构代码证复印件、税务登记证副本复印件。供应商</w:t>
      </w:r>
      <w:r>
        <w:rPr>
          <w:rFonts w:hint="eastAsia" w:ascii="方正仿宋_GBK" w:hAnsi="方正仿宋_GBK" w:eastAsia="方正仿宋_GBK" w:cs="方正仿宋_GBK"/>
          <w:color w:val="000000"/>
          <w:kern w:val="0"/>
          <w:sz w:val="24"/>
          <w:szCs w:val="24"/>
        </w:rPr>
        <w:t>按“五证合一”登记制度办理营业执照的，组织机构代码证、税务登记证（副本）和社会保险登记证以供应商所提供的营业执照（副本）复印件为准。</w:t>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按“三证合一”登记制度办理营业</w:t>
      </w:r>
      <w:r>
        <w:rPr>
          <w:rFonts w:hint="eastAsia" w:ascii="方正仿宋_GBK" w:hAnsi="方正仿宋_GBK" w:eastAsia="方正仿宋_GBK" w:cs="方正仿宋_GBK"/>
          <w:color w:val="000000"/>
          <w:sz w:val="24"/>
          <w:szCs w:val="24"/>
        </w:rPr>
        <w:t>执照的，组织机构代码证和税务登记证以供应商所提供的营业执照（副本）复印件为准。</w:t>
      </w:r>
    </w:p>
    <w:p>
      <w:pPr>
        <w:tabs>
          <w:tab w:val="left" w:pos="6300"/>
        </w:tabs>
        <w:snapToGrid w:val="0"/>
        <w:spacing w:line="560" w:lineRule="exact"/>
        <w:ind w:firstLine="720" w:firstLineChars="3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2.法定代表人身份证明书（格式）</w:t>
      </w:r>
    </w:p>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致：（采购人单位名称）：</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（法定代表人姓名）在（供应商名称）任（职务名称）职务，是（供应商名称）的法定代表人。</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特此证明。</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（供应商公章）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（附：法定代表人身份证正反面复印件）</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3.法定代表人授权委托书（格式）</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项目名称：_______________</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日    期：_______________</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致：_____________________（采购人单位名称）</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_____________________（供应商名称）是中华人民共和国合法企业，法定地址______________________________。</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我单位对被授权人的签字负全部责任。</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在撤消授权的书面通知以前，本授权书一直有效。被授权人签署的所有文件（在授权书有效期内签署的）不因授权的撤消而失效。</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被授权人：                                  供应商法定代表人：</w:t>
      </w:r>
    </w:p>
    <w:p>
      <w:pPr>
        <w:tabs>
          <w:tab w:val="left" w:pos="6300"/>
        </w:tabs>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（签字或盖章）                                （签字或盖章）：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（附：被授权人身份证复印件）</w:t>
      </w:r>
    </w:p>
    <w:p>
      <w:pPr>
        <w:tabs>
          <w:tab w:val="left" w:pos="6300"/>
        </w:tabs>
        <w:snapToGrid w:val="0"/>
        <w:spacing w:line="480" w:lineRule="exact"/>
        <w:rPr>
          <w:rFonts w:ascii="方正仿宋_GBK" w:hAnsi="方正仿宋_GBK" w:eastAsia="方正仿宋_GBK" w:cs="方正仿宋_GBK"/>
          <w:color w:val="000000"/>
          <w:sz w:val="24"/>
          <w:szCs w:val="24"/>
        </w:rPr>
      </w:pPr>
    </w:p>
    <w:p>
      <w:pPr>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（供应商公章）</w:t>
      </w:r>
    </w:p>
    <w:p>
      <w:pPr>
        <w:snapToGrid w:val="0"/>
        <w:spacing w:line="480" w:lineRule="exact"/>
        <w:ind w:firstLine="6480" w:firstLineChars="27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4.具有良好的商业信誉和健全的财务会计制度；</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提供2019年度</w:t>
      </w:r>
      <w:r>
        <w:rPr>
          <w:rFonts w:hint="eastAsia" w:ascii="方正仿宋_GBK" w:hAnsi="方正仿宋_GBK" w:eastAsia="方正仿宋_GBK" w:cs="方正仿宋_GBK"/>
          <w:color w:val="000000"/>
          <w:sz w:val="24"/>
          <w:szCs w:val="24"/>
          <w:lang w:val="en-US" w:eastAsia="zh-CN"/>
        </w:rPr>
        <w:t>或2020年度</w:t>
      </w:r>
      <w:r>
        <w:rPr>
          <w:rFonts w:hint="eastAsia" w:ascii="方正仿宋_GBK" w:hAnsi="方正仿宋_GBK" w:eastAsia="方正仿宋_GBK" w:cs="方正仿宋_GBK"/>
          <w:color w:val="000000"/>
          <w:sz w:val="24"/>
          <w:szCs w:val="24"/>
        </w:rPr>
        <w:t>财务状况报告（表）或其基本帐户开户银行出具的资信证明复印件，本年度新成立无法提供财务状况报告（表）的，可提供银行出具的资信证明复印件。</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5.履行合同所必需的设备和专业技术能力；</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提供书面声明。</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 有依法缴纳税收和社会保障金的良好记录；</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7.参加本项目采购活动书面声明：</w:t>
      </w:r>
    </w:p>
    <w:p>
      <w:pPr>
        <w:tabs>
          <w:tab w:val="left" w:pos="6300"/>
        </w:tabs>
        <w:snapToGrid w:val="0"/>
        <w:spacing w:line="480" w:lineRule="exact"/>
        <w:ind w:firstLine="120" w:firstLineChars="50"/>
        <w:jc w:val="center"/>
        <w:rPr>
          <w:rFonts w:ascii="方正仿宋_GBK" w:hAnsi="方正仿宋_GBK" w:eastAsia="方正仿宋_GBK" w:cs="方正仿宋_GBK"/>
          <w:color w:val="000000"/>
          <w:sz w:val="24"/>
          <w:szCs w:val="24"/>
        </w:rPr>
      </w:pPr>
    </w:p>
    <w:p>
      <w:pPr>
        <w:tabs>
          <w:tab w:val="left" w:pos="6300"/>
        </w:tabs>
        <w:snapToGrid w:val="0"/>
        <w:spacing w:line="480" w:lineRule="exact"/>
        <w:ind w:firstLine="120" w:firstLineChars="5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书面声明</w:t>
      </w:r>
    </w:p>
    <w:p>
      <w:pPr>
        <w:tabs>
          <w:tab w:val="left" w:pos="6300"/>
        </w:tabs>
        <w:snapToGrid w:val="0"/>
        <w:spacing w:line="480" w:lineRule="exact"/>
        <w:jc w:val="center"/>
        <w:rPr>
          <w:rFonts w:ascii="方正仿宋_GBK" w:hAnsi="方正仿宋_GBK" w:eastAsia="方正仿宋_GBK" w:cs="方正仿宋_GBK"/>
          <w:color w:val="000000"/>
          <w:sz w:val="24"/>
          <w:szCs w:val="24"/>
        </w:rPr>
      </w:pP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项目名称：</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致：（采购人单位名称）：</w:t>
      </w:r>
    </w:p>
    <w:p>
      <w:pPr>
        <w:pStyle w:val="74"/>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名称）郑重声明，我公司具有良好的商业信誉，具有履行合同所必需的设备和专业技术能力，参加本项目采购活动前一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特此声明。</w:t>
      </w:r>
    </w:p>
    <w:p>
      <w:pPr>
        <w:tabs>
          <w:tab w:val="left" w:pos="6300"/>
        </w:tabs>
        <w:snapToGrid w:val="0"/>
        <w:spacing w:line="480" w:lineRule="exact"/>
        <w:jc w:val="center"/>
        <w:rPr>
          <w:rFonts w:ascii="方正仿宋_GBK" w:hAnsi="方正仿宋_GBK" w:eastAsia="方正仿宋_GBK" w:cs="方正仿宋_GBK"/>
          <w:color w:val="000000"/>
          <w:sz w:val="24"/>
          <w:szCs w:val="24"/>
        </w:rPr>
      </w:pPr>
    </w:p>
    <w:p>
      <w:pPr>
        <w:tabs>
          <w:tab w:val="left" w:pos="6300"/>
        </w:tabs>
        <w:snapToGrid w:val="0"/>
        <w:spacing w:line="480" w:lineRule="exact"/>
        <w:jc w:val="center"/>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ind w:firstLine="7440" w:firstLineChars="3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w:t>
      </w:r>
    </w:p>
    <w:p>
      <w:pPr>
        <w:tabs>
          <w:tab w:val="left" w:pos="6300"/>
        </w:tabs>
        <w:snapToGrid w:val="0"/>
        <w:spacing w:line="480" w:lineRule="exact"/>
        <w:ind w:right="360" w:firstLine="480" w:firstLineChars="200"/>
        <w:jc w:val="right"/>
        <w:rPr>
          <w:rFonts w:ascii="方正仿宋_GBK" w:hAnsi="方正仿宋_GBK" w:eastAsia="方正仿宋_GBK" w:cs="方正仿宋_GBK"/>
          <w:color w:val="000000"/>
          <w:sz w:val="24"/>
          <w:szCs w:val="24"/>
        </w:rPr>
      </w:pPr>
    </w:p>
    <w:p>
      <w:pPr>
        <w:tabs>
          <w:tab w:val="left" w:pos="6300"/>
        </w:tabs>
        <w:snapToGrid w:val="0"/>
        <w:spacing w:line="480" w:lineRule="exact"/>
        <w:ind w:right="360" w:firstLine="480" w:firstLineChars="200"/>
        <w:jc w:val="righ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tabs>
          <w:tab w:val="left" w:pos="6300"/>
        </w:tabs>
        <w:snapToGrid w:val="0"/>
        <w:spacing w:line="500" w:lineRule="exact"/>
        <w:outlineLvl w:val="0"/>
        <w:rPr>
          <w:rFonts w:hint="eastAsia" w:ascii="方正仿宋_GBK" w:hAnsi="方正仿宋_GBK" w:eastAsia="方正仿宋_GBK" w:cs="方正仿宋_GBK"/>
          <w:color w:val="000000"/>
          <w:sz w:val="24"/>
          <w:szCs w:val="24"/>
        </w:rPr>
      </w:pPr>
    </w:p>
    <w:p>
      <w:pPr>
        <w:tabs>
          <w:tab w:val="left" w:pos="6300"/>
        </w:tabs>
        <w:snapToGrid w:val="0"/>
        <w:spacing w:line="500" w:lineRule="exact"/>
        <w:outlineLvl w:val="0"/>
        <w:rPr>
          <w:rFonts w:hint="eastAsia" w:ascii="方正仿宋_GBK" w:hAnsi="方正仿宋_GBK" w:eastAsia="方正仿宋_GBK" w:cs="方正仿宋_GBK"/>
          <w:color w:val="000000"/>
          <w:sz w:val="24"/>
          <w:szCs w:val="24"/>
        </w:rPr>
      </w:pPr>
    </w:p>
    <w:p>
      <w:pPr>
        <w:tabs>
          <w:tab w:val="left" w:pos="6300"/>
        </w:tabs>
        <w:snapToGrid w:val="0"/>
        <w:spacing w:line="500" w:lineRule="exact"/>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注：</w:t>
      </w:r>
    </w:p>
    <w:p>
      <w:pPr>
        <w:tabs>
          <w:tab w:val="left" w:pos="6300"/>
        </w:tabs>
        <w:snapToGrid w:val="0"/>
        <w:spacing w:line="500" w:lineRule="exact"/>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1.请打印在</w:t>
      </w:r>
      <w:r>
        <w:rPr>
          <w:rFonts w:hint="eastAsia" w:ascii="方正仿宋_GBK" w:hAnsi="方正仿宋_GBK" w:eastAsia="方正仿宋_GBK" w:cs="方正仿宋_GBK"/>
          <w:color w:val="000000"/>
          <w:sz w:val="24"/>
          <w:szCs w:val="24"/>
        </w:rPr>
        <w:t>信用中国网站（www.creditchina.gov.cn）</w:t>
      </w:r>
      <w:r>
        <w:rPr>
          <w:rFonts w:hint="eastAsia" w:ascii="方正仿宋_GBK" w:hAnsi="方正仿宋_GBK" w:eastAsia="方正仿宋_GBK" w:cs="方正仿宋_GBK"/>
          <w:color w:val="000000"/>
          <w:sz w:val="24"/>
          <w:szCs w:val="24"/>
          <w:lang w:val="en-US" w:eastAsia="zh-CN"/>
        </w:rPr>
        <w:t>和</w:t>
      </w:r>
      <w:r>
        <w:rPr>
          <w:rFonts w:hint="eastAsia" w:ascii="方正仿宋_GBK" w:hAnsi="方正仿宋_GBK" w:eastAsia="方正仿宋_GBK" w:cs="方正仿宋_GBK"/>
          <w:color w:val="000000"/>
          <w:sz w:val="24"/>
          <w:szCs w:val="24"/>
        </w:rPr>
        <w:t>中国政府采购网（www.ccgp.gov.cn）</w:t>
      </w:r>
      <w:r>
        <w:rPr>
          <w:rFonts w:hint="eastAsia" w:ascii="方正仿宋_GBK" w:hAnsi="方正仿宋_GBK" w:eastAsia="方正仿宋_GBK" w:cs="方正仿宋_GBK"/>
          <w:color w:val="000000"/>
          <w:sz w:val="24"/>
          <w:szCs w:val="24"/>
          <w:lang w:val="en-US" w:eastAsia="zh-CN"/>
        </w:rPr>
        <w:t>查询的信用结果。</w:t>
      </w: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（二）特定资格条件</w:t>
      </w:r>
    </w:p>
    <w:p>
      <w:pPr>
        <w:tabs>
          <w:tab w:val="left" w:pos="6300"/>
        </w:tabs>
        <w:snapToGrid w:val="0"/>
        <w:spacing w:line="500" w:lineRule="exact"/>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提供证明材料复印件，原件备查。</w:t>
      </w: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（三）其他应提供的资料</w:t>
      </w:r>
    </w:p>
    <w:p>
      <w:pPr>
        <w:spacing w:line="56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1.其他与项目有关的资料（自附）</w:t>
      </w: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ind w:firstLine="480" w:firstLineChars="20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（结束）</w:t>
      </w:r>
    </w:p>
    <w:sectPr>
      <w:headerReference r:id="rId15" w:type="default"/>
      <w:pgSz w:w="11907" w:h="16840"/>
      <w:pgMar w:top="1418" w:right="1304" w:bottom="902" w:left="1418"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粗黑">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sz w:val="24"/>
      </w:rPr>
    </w:pPr>
    <w:r>
      <w:rPr>
        <w:sz w:val="24"/>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1"/>
      </w:rPr>
    </w:pPr>
    <w:r>
      <w:fldChar w:fldCharType="begin"/>
    </w:r>
    <w:r>
      <w:rPr>
        <w:rStyle w:val="61"/>
      </w:rPr>
      <w:instrText xml:space="preserve">PAGE  </w:instrText>
    </w:r>
    <w:r>
      <w:fldChar w:fldCharType="end"/>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535"/>
        <w:tab w:val="clear" w:pos="4153"/>
      </w:tabs>
    </w:pPr>
    <w:r>
      <w:rPr>
        <w:sz w:val="18"/>
      </w:rPr>
      <mc:AlternateContent>
        <mc:Choice Requires="wps">
          <w:drawing>
            <wp:anchor distT="0" distB="0" distL="114300" distR="114300" simplePos="0" relativeHeight="3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3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sz w:val="24"/>
      </w:rPr>
    </w:pPr>
    <w:r>
      <w:rPr>
        <w:sz w:val="24"/>
      </w:rPr>
      <mc:AlternateContent>
        <mc:Choice Requires="wps">
          <w:drawing>
            <wp:anchor distT="0" distB="0" distL="114300" distR="114300" simplePos="0" relativeHeight="4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4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535"/>
        <w:tab w:val="clear" w:pos="4153"/>
      </w:tabs>
    </w:pPr>
    <w:r>
      <w:rPr>
        <w:sz w:val="18"/>
      </w:rPr>
      <mc:AlternateContent>
        <mc:Choice Requires="wps">
          <w:drawing>
            <wp:anchor distT="0" distB="0" distL="114300" distR="114300" simplePos="0" relativeHeight="5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sz w:val="24"/>
      </w:rPr>
    </w:pPr>
    <w:r>
      <w:rPr>
        <w:sz w:val="24"/>
      </w:rPr>
      <mc:AlternateContent>
        <mc:Choice Requires="wps">
          <w:drawing>
            <wp:anchor distT="0" distB="0" distL="114300" distR="114300" simplePos="0" relativeHeight="6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7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7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8"/>
                            <w:rPr>
                              <w:rStyle w:val="61"/>
                              <w:rFonts w:hint="eastAsia" w:eastAsia="宋体"/>
                              <w:sz w:val="21"/>
                              <w:szCs w:val="21"/>
                              <w:lang w:eastAsia="zh-CN"/>
                            </w:rPr>
                          </w:pPr>
                          <w:r>
                            <w:rPr>
                              <w:rStyle w:val="61"/>
                              <w:rFonts w:hint="eastAsia"/>
                              <w:sz w:val="21"/>
                              <w:szCs w:val="21"/>
                              <w:lang w:eastAsia="zh-CN"/>
                            </w:rPr>
                            <w:fldChar w:fldCharType="begin"/>
                          </w:r>
                          <w:r>
                            <w:rPr>
                              <w:rStyle w:val="61"/>
                              <w:rFonts w:hint="eastAsia"/>
                              <w:sz w:val="21"/>
                              <w:szCs w:val="21"/>
                              <w:lang w:eastAsia="zh-CN"/>
                            </w:rPr>
                            <w:instrText xml:space="preserve"> PAGE  \* MERGEFORMAT </w:instrText>
                          </w:r>
                          <w:r>
                            <w:rPr>
                              <w:rStyle w:val="61"/>
                              <w:rFonts w:hint="eastAsia"/>
                              <w:sz w:val="21"/>
                              <w:szCs w:val="21"/>
                              <w:lang w:eastAsia="zh-CN"/>
                            </w:rPr>
                            <w:fldChar w:fldCharType="separate"/>
                          </w:r>
                          <w:r>
                            <w:rPr>
                              <w:rStyle w:val="61"/>
                              <w:rFonts w:hint="eastAsia"/>
                              <w:sz w:val="21"/>
                              <w:szCs w:val="21"/>
                              <w:lang w:eastAsia="zh-CN"/>
                            </w:rPr>
                            <w:t>1</w:t>
                          </w:r>
                          <w:r>
                            <w:rPr>
                              <w:rStyle w:val="61"/>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38"/>
                      <w:rPr>
                        <w:rStyle w:val="61"/>
                        <w:rFonts w:hint="eastAsia" w:eastAsia="宋体"/>
                        <w:sz w:val="21"/>
                        <w:szCs w:val="21"/>
                        <w:lang w:eastAsia="zh-CN"/>
                      </w:rPr>
                    </w:pPr>
                    <w:r>
                      <w:rPr>
                        <w:rStyle w:val="61"/>
                        <w:rFonts w:hint="eastAsia"/>
                        <w:sz w:val="21"/>
                        <w:szCs w:val="21"/>
                        <w:lang w:eastAsia="zh-CN"/>
                      </w:rPr>
                      <w:fldChar w:fldCharType="begin"/>
                    </w:r>
                    <w:r>
                      <w:rPr>
                        <w:rStyle w:val="61"/>
                        <w:rFonts w:hint="eastAsia"/>
                        <w:sz w:val="21"/>
                        <w:szCs w:val="21"/>
                        <w:lang w:eastAsia="zh-CN"/>
                      </w:rPr>
                      <w:instrText xml:space="preserve"> PAGE  \* MERGEFORMAT </w:instrText>
                    </w:r>
                    <w:r>
                      <w:rPr>
                        <w:rStyle w:val="61"/>
                        <w:rFonts w:hint="eastAsia"/>
                        <w:sz w:val="21"/>
                        <w:szCs w:val="21"/>
                        <w:lang w:eastAsia="zh-CN"/>
                      </w:rPr>
                      <w:fldChar w:fldCharType="separate"/>
                    </w:r>
                    <w:r>
                      <w:rPr>
                        <w:rStyle w:val="61"/>
                        <w:rFonts w:hint="eastAsia"/>
                        <w:sz w:val="21"/>
                        <w:szCs w:val="21"/>
                        <w:lang w:eastAsia="zh-CN"/>
                      </w:rPr>
                      <w:t>1</w:t>
                    </w:r>
                    <w:r>
                      <w:rPr>
                        <w:rStyle w:val="61"/>
                        <w:rFonts w:hint="eastAsia"/>
                        <w:sz w:val="21"/>
                        <w:szCs w:val="21"/>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1"/>
      </w:rPr>
    </w:pPr>
    <w:r>
      <w:fldChar w:fldCharType="begin"/>
    </w:r>
    <w:r>
      <w:rPr>
        <w:rStyle w:val="61"/>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4" w:space="1"/>
      </w:pBdr>
      <w:jc w:val="both"/>
      <w:rPr>
        <w:rFonts w:ascii="方正仿宋_GBK" w:eastAsia="方正仿宋_GBK"/>
        <w:sz w:val="21"/>
        <w:szCs w:val="24"/>
      </w:rPr>
    </w:pPr>
    <w:r>
      <w:rPr>
        <w:rFonts w:hint="eastAsia" w:ascii="方正仿宋_GBK" w:eastAsia="方正仿宋_GBK"/>
        <w:sz w:val="21"/>
        <w:szCs w:val="24"/>
      </w:rPr>
      <w:t>重庆市第四人民医院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szCs w:val="18"/>
      </w:rPr>
    </w:pPr>
    <w:r>
      <w:rPr>
        <w:rFonts w:hint="eastAsia" w:ascii="方正仿宋_GBK" w:hAnsi="方正仿宋_GBK" w:eastAsia="方正仿宋_GBK" w:cs="方正仿宋_GBK"/>
        <w:sz w:val="21"/>
        <w:szCs w:val="21"/>
      </w:rPr>
      <w:t>重庆市第四人民医院</w:t>
    </w:r>
    <w:r>
      <w:rPr>
        <w:rFonts w:hint="eastAsia" w:ascii="方正仿宋_GBK" w:hAnsi="方正仿宋_GBK" w:eastAsia="方正仿宋_GBK" w:cs="方正仿宋_GBK"/>
        <w:sz w:val="21"/>
        <w:szCs w:val="21"/>
        <w:lang w:val="en-US" w:eastAsia="zh-CN"/>
      </w:rPr>
      <w:t xml:space="preserve">                                                </w:t>
    </w:r>
    <w:bookmarkStart w:id="122" w:name="_GoBack"/>
    <w:bookmarkEnd w:id="122"/>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upperLetter"/>
      <w:pStyle w:val="21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7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2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37"/>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2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7"/>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4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53208E"/>
    <w:multiLevelType w:val="singleLevel"/>
    <w:tmpl w:val="0053208E"/>
    <w:lvl w:ilvl="0" w:tentative="0">
      <w:start w:val="1"/>
      <w:numFmt w:val="chineseCounting"/>
      <w:suff w:val="nothing"/>
      <w:lvlText w:val="（%1）"/>
      <w:lvlJc w:val="left"/>
    </w:lvl>
  </w:abstractNum>
  <w:abstractNum w:abstractNumId="13">
    <w:nsid w:val="612DE816"/>
    <w:multiLevelType w:val="singleLevel"/>
    <w:tmpl w:val="612DE816"/>
    <w:lvl w:ilvl="0" w:tentative="0">
      <w:start w:val="2"/>
      <w:numFmt w:val="chineseCounting"/>
      <w:suff w:val="nothing"/>
      <w:lvlText w:val="%1、"/>
      <w:lvlJc w:val="left"/>
    </w:lvl>
  </w:abstractNum>
  <w:abstractNum w:abstractNumId="14">
    <w:nsid w:val="612F1B32"/>
    <w:multiLevelType w:val="singleLevel"/>
    <w:tmpl w:val="612F1B32"/>
    <w:lvl w:ilvl="0" w:tentative="0">
      <w:start w:val="1"/>
      <w:numFmt w:val="chineseCounting"/>
      <w:suff w:val="nothing"/>
      <w:lvlText w:val="（%1）"/>
      <w:lvlJc w:val="left"/>
    </w:lvl>
  </w:abstractNum>
  <w:num w:numId="1">
    <w:abstractNumId w:val="8"/>
  </w:num>
  <w:num w:numId="2">
    <w:abstractNumId w:val="3"/>
  </w:num>
  <w:num w:numId="3">
    <w:abstractNumId w:val="9"/>
  </w:num>
  <w:num w:numId="4">
    <w:abstractNumId w:val="7"/>
  </w:num>
  <w:num w:numId="5">
    <w:abstractNumId w:val="0"/>
  </w:num>
  <w:num w:numId="6">
    <w:abstractNumId w:val="6"/>
  </w:num>
  <w:num w:numId="7">
    <w:abstractNumId w:val="11"/>
  </w:num>
  <w:num w:numId="8">
    <w:abstractNumId w:val="10"/>
  </w:num>
  <w:num w:numId="9">
    <w:abstractNumId w:val="2"/>
  </w:num>
  <w:num w:numId="10">
    <w:abstractNumId w:val="1"/>
  </w:num>
  <w:num w:numId="11">
    <w:abstractNumId w:val="4"/>
  </w:num>
  <w:num w:numId="12">
    <w:abstractNumId w:val="5"/>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B72DB"/>
    <w:rsid w:val="00003108"/>
    <w:rsid w:val="00004E4E"/>
    <w:rsid w:val="00007391"/>
    <w:rsid w:val="00007893"/>
    <w:rsid w:val="00010138"/>
    <w:rsid w:val="00015D37"/>
    <w:rsid w:val="00016B79"/>
    <w:rsid w:val="0001701D"/>
    <w:rsid w:val="00021C89"/>
    <w:rsid w:val="00023AB4"/>
    <w:rsid w:val="000245A3"/>
    <w:rsid w:val="00025885"/>
    <w:rsid w:val="000351C4"/>
    <w:rsid w:val="0003632F"/>
    <w:rsid w:val="000378BE"/>
    <w:rsid w:val="00042890"/>
    <w:rsid w:val="00043D72"/>
    <w:rsid w:val="0004416D"/>
    <w:rsid w:val="0005298B"/>
    <w:rsid w:val="00053369"/>
    <w:rsid w:val="00053989"/>
    <w:rsid w:val="00054C6C"/>
    <w:rsid w:val="00056556"/>
    <w:rsid w:val="0005659E"/>
    <w:rsid w:val="00056EDD"/>
    <w:rsid w:val="000576E1"/>
    <w:rsid w:val="00060CA1"/>
    <w:rsid w:val="00061233"/>
    <w:rsid w:val="0006275F"/>
    <w:rsid w:val="00063981"/>
    <w:rsid w:val="00065A95"/>
    <w:rsid w:val="00065CA2"/>
    <w:rsid w:val="00066E2D"/>
    <w:rsid w:val="00067699"/>
    <w:rsid w:val="0007129F"/>
    <w:rsid w:val="00075B5D"/>
    <w:rsid w:val="00083F15"/>
    <w:rsid w:val="00084BC2"/>
    <w:rsid w:val="000851E7"/>
    <w:rsid w:val="000852C8"/>
    <w:rsid w:val="00090E2B"/>
    <w:rsid w:val="00090EFC"/>
    <w:rsid w:val="0009379C"/>
    <w:rsid w:val="00094520"/>
    <w:rsid w:val="00094CFD"/>
    <w:rsid w:val="00095FC2"/>
    <w:rsid w:val="000A1488"/>
    <w:rsid w:val="000A164E"/>
    <w:rsid w:val="000A1EC6"/>
    <w:rsid w:val="000A6752"/>
    <w:rsid w:val="000A6E58"/>
    <w:rsid w:val="000A77D2"/>
    <w:rsid w:val="000A7A4F"/>
    <w:rsid w:val="000B1955"/>
    <w:rsid w:val="000B28F9"/>
    <w:rsid w:val="000B4E18"/>
    <w:rsid w:val="000B5B0A"/>
    <w:rsid w:val="000B7377"/>
    <w:rsid w:val="000B7871"/>
    <w:rsid w:val="000B7F54"/>
    <w:rsid w:val="000C43D7"/>
    <w:rsid w:val="000C4E78"/>
    <w:rsid w:val="000D303E"/>
    <w:rsid w:val="000E3259"/>
    <w:rsid w:val="000E3AA3"/>
    <w:rsid w:val="000E47B0"/>
    <w:rsid w:val="000F03F7"/>
    <w:rsid w:val="000F0A30"/>
    <w:rsid w:val="000F121D"/>
    <w:rsid w:val="000F5B6E"/>
    <w:rsid w:val="000F7DBF"/>
    <w:rsid w:val="00100639"/>
    <w:rsid w:val="00100684"/>
    <w:rsid w:val="001020C8"/>
    <w:rsid w:val="0010645A"/>
    <w:rsid w:val="001103B7"/>
    <w:rsid w:val="001115B4"/>
    <w:rsid w:val="00115BFD"/>
    <w:rsid w:val="00116856"/>
    <w:rsid w:val="00120002"/>
    <w:rsid w:val="00120259"/>
    <w:rsid w:val="00123129"/>
    <w:rsid w:val="001272AD"/>
    <w:rsid w:val="001277F7"/>
    <w:rsid w:val="00131B1D"/>
    <w:rsid w:val="001333B3"/>
    <w:rsid w:val="00133D16"/>
    <w:rsid w:val="001404C1"/>
    <w:rsid w:val="0014081C"/>
    <w:rsid w:val="001423BF"/>
    <w:rsid w:val="001436CD"/>
    <w:rsid w:val="00144751"/>
    <w:rsid w:val="0014707B"/>
    <w:rsid w:val="0014792E"/>
    <w:rsid w:val="00147FB4"/>
    <w:rsid w:val="0015011C"/>
    <w:rsid w:val="00150429"/>
    <w:rsid w:val="0015276E"/>
    <w:rsid w:val="00152C89"/>
    <w:rsid w:val="00153BB9"/>
    <w:rsid w:val="001560B5"/>
    <w:rsid w:val="001565B1"/>
    <w:rsid w:val="00156647"/>
    <w:rsid w:val="00160A78"/>
    <w:rsid w:val="00160C26"/>
    <w:rsid w:val="0016252C"/>
    <w:rsid w:val="00163360"/>
    <w:rsid w:val="001653FD"/>
    <w:rsid w:val="001655A7"/>
    <w:rsid w:val="001675F5"/>
    <w:rsid w:val="00167D51"/>
    <w:rsid w:val="00170622"/>
    <w:rsid w:val="00173CC4"/>
    <w:rsid w:val="001753F8"/>
    <w:rsid w:val="00180ACB"/>
    <w:rsid w:val="00181029"/>
    <w:rsid w:val="00181522"/>
    <w:rsid w:val="00183A34"/>
    <w:rsid w:val="00185FC2"/>
    <w:rsid w:val="001875D2"/>
    <w:rsid w:val="00190398"/>
    <w:rsid w:val="00191DE8"/>
    <w:rsid w:val="00193113"/>
    <w:rsid w:val="001941E8"/>
    <w:rsid w:val="00194256"/>
    <w:rsid w:val="00195D6B"/>
    <w:rsid w:val="00197087"/>
    <w:rsid w:val="00197D14"/>
    <w:rsid w:val="001A37C3"/>
    <w:rsid w:val="001A462A"/>
    <w:rsid w:val="001A5630"/>
    <w:rsid w:val="001A5640"/>
    <w:rsid w:val="001A607D"/>
    <w:rsid w:val="001A6DCC"/>
    <w:rsid w:val="001B0E41"/>
    <w:rsid w:val="001B2FEB"/>
    <w:rsid w:val="001B3BCC"/>
    <w:rsid w:val="001B3DBD"/>
    <w:rsid w:val="001B4377"/>
    <w:rsid w:val="001B46B1"/>
    <w:rsid w:val="001B59E1"/>
    <w:rsid w:val="001B5B2A"/>
    <w:rsid w:val="001B611C"/>
    <w:rsid w:val="001B625E"/>
    <w:rsid w:val="001C1A80"/>
    <w:rsid w:val="001C25E5"/>
    <w:rsid w:val="001C2935"/>
    <w:rsid w:val="001C50CB"/>
    <w:rsid w:val="001C6527"/>
    <w:rsid w:val="001C7050"/>
    <w:rsid w:val="001D131F"/>
    <w:rsid w:val="001D2DCD"/>
    <w:rsid w:val="001D2EA3"/>
    <w:rsid w:val="001D3B9E"/>
    <w:rsid w:val="001D5055"/>
    <w:rsid w:val="001E4E17"/>
    <w:rsid w:val="001E5CAC"/>
    <w:rsid w:val="001E669C"/>
    <w:rsid w:val="001E725F"/>
    <w:rsid w:val="001F1AF7"/>
    <w:rsid w:val="001F3FA5"/>
    <w:rsid w:val="001F4814"/>
    <w:rsid w:val="001F4964"/>
    <w:rsid w:val="001F621F"/>
    <w:rsid w:val="001F7063"/>
    <w:rsid w:val="00202B04"/>
    <w:rsid w:val="00204936"/>
    <w:rsid w:val="002100EE"/>
    <w:rsid w:val="002102C1"/>
    <w:rsid w:val="00210B85"/>
    <w:rsid w:val="00212C9F"/>
    <w:rsid w:val="0021428D"/>
    <w:rsid w:val="002163C0"/>
    <w:rsid w:val="00216623"/>
    <w:rsid w:val="0021716E"/>
    <w:rsid w:val="00222097"/>
    <w:rsid w:val="00222E27"/>
    <w:rsid w:val="00224123"/>
    <w:rsid w:val="002242E9"/>
    <w:rsid w:val="0022600F"/>
    <w:rsid w:val="00232FB8"/>
    <w:rsid w:val="0023409B"/>
    <w:rsid w:val="00234938"/>
    <w:rsid w:val="00235919"/>
    <w:rsid w:val="002359BA"/>
    <w:rsid w:val="00237E72"/>
    <w:rsid w:val="0024088A"/>
    <w:rsid w:val="002419D1"/>
    <w:rsid w:val="00245A25"/>
    <w:rsid w:val="00247339"/>
    <w:rsid w:val="00251E35"/>
    <w:rsid w:val="00252D6A"/>
    <w:rsid w:val="00252F5C"/>
    <w:rsid w:val="00253817"/>
    <w:rsid w:val="00255103"/>
    <w:rsid w:val="00255876"/>
    <w:rsid w:val="00257CF1"/>
    <w:rsid w:val="0026202E"/>
    <w:rsid w:val="00263626"/>
    <w:rsid w:val="002643C1"/>
    <w:rsid w:val="00264A4A"/>
    <w:rsid w:val="00264E4D"/>
    <w:rsid w:val="00266874"/>
    <w:rsid w:val="00267879"/>
    <w:rsid w:val="0027055C"/>
    <w:rsid w:val="002715DC"/>
    <w:rsid w:val="00271D47"/>
    <w:rsid w:val="002721EA"/>
    <w:rsid w:val="00272BED"/>
    <w:rsid w:val="0027374C"/>
    <w:rsid w:val="00273E4B"/>
    <w:rsid w:val="00274D2E"/>
    <w:rsid w:val="00275D21"/>
    <w:rsid w:val="0027647E"/>
    <w:rsid w:val="0027728F"/>
    <w:rsid w:val="00280E8A"/>
    <w:rsid w:val="00282D6C"/>
    <w:rsid w:val="00285116"/>
    <w:rsid w:val="00285164"/>
    <w:rsid w:val="0029049C"/>
    <w:rsid w:val="00292FD0"/>
    <w:rsid w:val="00294C7D"/>
    <w:rsid w:val="00296B81"/>
    <w:rsid w:val="002A095B"/>
    <w:rsid w:val="002A4956"/>
    <w:rsid w:val="002A53D3"/>
    <w:rsid w:val="002A5F69"/>
    <w:rsid w:val="002A6710"/>
    <w:rsid w:val="002A76AC"/>
    <w:rsid w:val="002B41B5"/>
    <w:rsid w:val="002B4B7B"/>
    <w:rsid w:val="002B7904"/>
    <w:rsid w:val="002B7E79"/>
    <w:rsid w:val="002C05B9"/>
    <w:rsid w:val="002C0E75"/>
    <w:rsid w:val="002C2E6E"/>
    <w:rsid w:val="002C315A"/>
    <w:rsid w:val="002C379A"/>
    <w:rsid w:val="002C4F10"/>
    <w:rsid w:val="002C74A0"/>
    <w:rsid w:val="002C7B0A"/>
    <w:rsid w:val="002D2822"/>
    <w:rsid w:val="002E04D4"/>
    <w:rsid w:val="002E40AC"/>
    <w:rsid w:val="002E4EE4"/>
    <w:rsid w:val="002F36C1"/>
    <w:rsid w:val="002F3DE3"/>
    <w:rsid w:val="002F4A1E"/>
    <w:rsid w:val="002F55AB"/>
    <w:rsid w:val="002F632E"/>
    <w:rsid w:val="002F684F"/>
    <w:rsid w:val="002F6F6A"/>
    <w:rsid w:val="00301698"/>
    <w:rsid w:val="00304F39"/>
    <w:rsid w:val="00305514"/>
    <w:rsid w:val="003072CB"/>
    <w:rsid w:val="00310AF9"/>
    <w:rsid w:val="00315742"/>
    <w:rsid w:val="003163B3"/>
    <w:rsid w:val="00320638"/>
    <w:rsid w:val="00321E88"/>
    <w:rsid w:val="00326866"/>
    <w:rsid w:val="003311A4"/>
    <w:rsid w:val="003342C4"/>
    <w:rsid w:val="00341DEB"/>
    <w:rsid w:val="00343835"/>
    <w:rsid w:val="00345CA6"/>
    <w:rsid w:val="00346A3D"/>
    <w:rsid w:val="00347C05"/>
    <w:rsid w:val="00350C20"/>
    <w:rsid w:val="00352980"/>
    <w:rsid w:val="00353641"/>
    <w:rsid w:val="00353902"/>
    <w:rsid w:val="00353F72"/>
    <w:rsid w:val="003548FA"/>
    <w:rsid w:val="0035504F"/>
    <w:rsid w:val="00357147"/>
    <w:rsid w:val="00361427"/>
    <w:rsid w:val="003616C8"/>
    <w:rsid w:val="0036458B"/>
    <w:rsid w:val="00367C43"/>
    <w:rsid w:val="00367D87"/>
    <w:rsid w:val="003713EA"/>
    <w:rsid w:val="00371D2F"/>
    <w:rsid w:val="00372FED"/>
    <w:rsid w:val="00376511"/>
    <w:rsid w:val="00376D15"/>
    <w:rsid w:val="00381919"/>
    <w:rsid w:val="00383F0D"/>
    <w:rsid w:val="00384161"/>
    <w:rsid w:val="00387610"/>
    <w:rsid w:val="00390DB8"/>
    <w:rsid w:val="003910F4"/>
    <w:rsid w:val="00391272"/>
    <w:rsid w:val="003914D0"/>
    <w:rsid w:val="003925D0"/>
    <w:rsid w:val="0039349B"/>
    <w:rsid w:val="003936D9"/>
    <w:rsid w:val="00393B4B"/>
    <w:rsid w:val="00395D07"/>
    <w:rsid w:val="003973D3"/>
    <w:rsid w:val="003A062B"/>
    <w:rsid w:val="003A0892"/>
    <w:rsid w:val="003A38D2"/>
    <w:rsid w:val="003A449E"/>
    <w:rsid w:val="003A530C"/>
    <w:rsid w:val="003A60F5"/>
    <w:rsid w:val="003A71F3"/>
    <w:rsid w:val="003B1414"/>
    <w:rsid w:val="003B19F5"/>
    <w:rsid w:val="003B5620"/>
    <w:rsid w:val="003B6F30"/>
    <w:rsid w:val="003B722A"/>
    <w:rsid w:val="003C2B1A"/>
    <w:rsid w:val="003C30B5"/>
    <w:rsid w:val="003C4D32"/>
    <w:rsid w:val="003C5B0C"/>
    <w:rsid w:val="003C7838"/>
    <w:rsid w:val="003D0E0A"/>
    <w:rsid w:val="003D0F24"/>
    <w:rsid w:val="003D222B"/>
    <w:rsid w:val="003D2F82"/>
    <w:rsid w:val="003D3B3F"/>
    <w:rsid w:val="003D4263"/>
    <w:rsid w:val="003D4B1F"/>
    <w:rsid w:val="003D515E"/>
    <w:rsid w:val="003E057A"/>
    <w:rsid w:val="003E2E06"/>
    <w:rsid w:val="003E3B72"/>
    <w:rsid w:val="003E6AE4"/>
    <w:rsid w:val="003F07A0"/>
    <w:rsid w:val="003F1741"/>
    <w:rsid w:val="003F1C7A"/>
    <w:rsid w:val="003F2C37"/>
    <w:rsid w:val="003F3821"/>
    <w:rsid w:val="003F3EB8"/>
    <w:rsid w:val="003F4A76"/>
    <w:rsid w:val="003F58D5"/>
    <w:rsid w:val="00402238"/>
    <w:rsid w:val="00402B32"/>
    <w:rsid w:val="0041016A"/>
    <w:rsid w:val="00410C93"/>
    <w:rsid w:val="00411129"/>
    <w:rsid w:val="00411808"/>
    <w:rsid w:val="00411B4A"/>
    <w:rsid w:val="00412227"/>
    <w:rsid w:val="00413904"/>
    <w:rsid w:val="00413E74"/>
    <w:rsid w:val="0041419E"/>
    <w:rsid w:val="004145BB"/>
    <w:rsid w:val="004163BF"/>
    <w:rsid w:val="00425964"/>
    <w:rsid w:val="00425E9A"/>
    <w:rsid w:val="00425EAC"/>
    <w:rsid w:val="004279BA"/>
    <w:rsid w:val="00435724"/>
    <w:rsid w:val="00436CA9"/>
    <w:rsid w:val="00437CC6"/>
    <w:rsid w:val="004461B1"/>
    <w:rsid w:val="0045162B"/>
    <w:rsid w:val="004578A3"/>
    <w:rsid w:val="004604AF"/>
    <w:rsid w:val="0046070D"/>
    <w:rsid w:val="00461DCE"/>
    <w:rsid w:val="00461DEF"/>
    <w:rsid w:val="00462878"/>
    <w:rsid w:val="004631BF"/>
    <w:rsid w:val="0046376F"/>
    <w:rsid w:val="00465B10"/>
    <w:rsid w:val="00467670"/>
    <w:rsid w:val="004723ED"/>
    <w:rsid w:val="00472EFD"/>
    <w:rsid w:val="00474E32"/>
    <w:rsid w:val="00475018"/>
    <w:rsid w:val="00475E0B"/>
    <w:rsid w:val="00476F67"/>
    <w:rsid w:val="00476F7F"/>
    <w:rsid w:val="00481A4F"/>
    <w:rsid w:val="00484C95"/>
    <w:rsid w:val="00484E73"/>
    <w:rsid w:val="0048731A"/>
    <w:rsid w:val="004920D9"/>
    <w:rsid w:val="004953EC"/>
    <w:rsid w:val="00497786"/>
    <w:rsid w:val="00497F9D"/>
    <w:rsid w:val="004A0DE1"/>
    <w:rsid w:val="004A2410"/>
    <w:rsid w:val="004A27AC"/>
    <w:rsid w:val="004A409E"/>
    <w:rsid w:val="004B34F0"/>
    <w:rsid w:val="004C1DD0"/>
    <w:rsid w:val="004C1F11"/>
    <w:rsid w:val="004C3DE4"/>
    <w:rsid w:val="004C64E4"/>
    <w:rsid w:val="004D08DF"/>
    <w:rsid w:val="004D10E1"/>
    <w:rsid w:val="004D2516"/>
    <w:rsid w:val="004D5E68"/>
    <w:rsid w:val="004D5F4E"/>
    <w:rsid w:val="004D7104"/>
    <w:rsid w:val="004D78BE"/>
    <w:rsid w:val="004D7C8D"/>
    <w:rsid w:val="004E12CE"/>
    <w:rsid w:val="004E55DB"/>
    <w:rsid w:val="004E597F"/>
    <w:rsid w:val="004E5FB3"/>
    <w:rsid w:val="004F6EBD"/>
    <w:rsid w:val="005009DF"/>
    <w:rsid w:val="00502B2F"/>
    <w:rsid w:val="00505207"/>
    <w:rsid w:val="00505F49"/>
    <w:rsid w:val="0051101D"/>
    <w:rsid w:val="00511B27"/>
    <w:rsid w:val="00511CEB"/>
    <w:rsid w:val="00511D48"/>
    <w:rsid w:val="00512D00"/>
    <w:rsid w:val="00513781"/>
    <w:rsid w:val="00514179"/>
    <w:rsid w:val="00514AD5"/>
    <w:rsid w:val="0051567A"/>
    <w:rsid w:val="00517EAF"/>
    <w:rsid w:val="00520A91"/>
    <w:rsid w:val="00521630"/>
    <w:rsid w:val="0052350D"/>
    <w:rsid w:val="00531A95"/>
    <w:rsid w:val="00534057"/>
    <w:rsid w:val="00534316"/>
    <w:rsid w:val="00534B12"/>
    <w:rsid w:val="005400B8"/>
    <w:rsid w:val="00540CD4"/>
    <w:rsid w:val="00540FC8"/>
    <w:rsid w:val="005460D5"/>
    <w:rsid w:val="0054653F"/>
    <w:rsid w:val="005524B5"/>
    <w:rsid w:val="0056102F"/>
    <w:rsid w:val="00561980"/>
    <w:rsid w:val="00563DCD"/>
    <w:rsid w:val="005646DA"/>
    <w:rsid w:val="00564B1E"/>
    <w:rsid w:val="005652A3"/>
    <w:rsid w:val="005665DE"/>
    <w:rsid w:val="00566A85"/>
    <w:rsid w:val="00567FBA"/>
    <w:rsid w:val="00570BD9"/>
    <w:rsid w:val="0057354C"/>
    <w:rsid w:val="00573AE3"/>
    <w:rsid w:val="00573F6E"/>
    <w:rsid w:val="005765B7"/>
    <w:rsid w:val="005800A7"/>
    <w:rsid w:val="005814FE"/>
    <w:rsid w:val="00584FEF"/>
    <w:rsid w:val="00585AC6"/>
    <w:rsid w:val="005902D9"/>
    <w:rsid w:val="005903BA"/>
    <w:rsid w:val="00590CBA"/>
    <w:rsid w:val="00592580"/>
    <w:rsid w:val="00593ABB"/>
    <w:rsid w:val="00596775"/>
    <w:rsid w:val="00596AB7"/>
    <w:rsid w:val="00597A5C"/>
    <w:rsid w:val="00597A87"/>
    <w:rsid w:val="005A1EA7"/>
    <w:rsid w:val="005A50AE"/>
    <w:rsid w:val="005B1E46"/>
    <w:rsid w:val="005B226A"/>
    <w:rsid w:val="005B3632"/>
    <w:rsid w:val="005B3A2E"/>
    <w:rsid w:val="005B413F"/>
    <w:rsid w:val="005C1D3E"/>
    <w:rsid w:val="005C42AC"/>
    <w:rsid w:val="005C4F84"/>
    <w:rsid w:val="005C5B62"/>
    <w:rsid w:val="005D10FF"/>
    <w:rsid w:val="005D23FB"/>
    <w:rsid w:val="005D3321"/>
    <w:rsid w:val="005D416B"/>
    <w:rsid w:val="005D5230"/>
    <w:rsid w:val="005D613B"/>
    <w:rsid w:val="005D703E"/>
    <w:rsid w:val="005E1932"/>
    <w:rsid w:val="005E47D1"/>
    <w:rsid w:val="005E7BF9"/>
    <w:rsid w:val="005F176A"/>
    <w:rsid w:val="005F2471"/>
    <w:rsid w:val="005F2F14"/>
    <w:rsid w:val="005F3397"/>
    <w:rsid w:val="00600203"/>
    <w:rsid w:val="0060026B"/>
    <w:rsid w:val="00600442"/>
    <w:rsid w:val="00601D2D"/>
    <w:rsid w:val="006021DE"/>
    <w:rsid w:val="00602D54"/>
    <w:rsid w:val="00605D4F"/>
    <w:rsid w:val="006101C4"/>
    <w:rsid w:val="0061190C"/>
    <w:rsid w:val="00612E94"/>
    <w:rsid w:val="00613410"/>
    <w:rsid w:val="0061399C"/>
    <w:rsid w:val="00617671"/>
    <w:rsid w:val="0061784A"/>
    <w:rsid w:val="00617986"/>
    <w:rsid w:val="00621636"/>
    <w:rsid w:val="0063186F"/>
    <w:rsid w:val="00635053"/>
    <w:rsid w:val="006364F2"/>
    <w:rsid w:val="00636CF1"/>
    <w:rsid w:val="00640E87"/>
    <w:rsid w:val="00641AD4"/>
    <w:rsid w:val="00641D50"/>
    <w:rsid w:val="00642026"/>
    <w:rsid w:val="00643641"/>
    <w:rsid w:val="00647233"/>
    <w:rsid w:val="00652E7F"/>
    <w:rsid w:val="00654A48"/>
    <w:rsid w:val="0065651B"/>
    <w:rsid w:val="00657AC5"/>
    <w:rsid w:val="00657AFE"/>
    <w:rsid w:val="00661A57"/>
    <w:rsid w:val="00664607"/>
    <w:rsid w:val="00664C22"/>
    <w:rsid w:val="00666C56"/>
    <w:rsid w:val="00667110"/>
    <w:rsid w:val="00670089"/>
    <w:rsid w:val="0067273C"/>
    <w:rsid w:val="00672AAB"/>
    <w:rsid w:val="00684E51"/>
    <w:rsid w:val="00690606"/>
    <w:rsid w:val="00690F1F"/>
    <w:rsid w:val="00691DE8"/>
    <w:rsid w:val="006940FB"/>
    <w:rsid w:val="0069753C"/>
    <w:rsid w:val="006A100B"/>
    <w:rsid w:val="006A31F9"/>
    <w:rsid w:val="006A3285"/>
    <w:rsid w:val="006A336B"/>
    <w:rsid w:val="006A3B70"/>
    <w:rsid w:val="006B04E7"/>
    <w:rsid w:val="006B0DD0"/>
    <w:rsid w:val="006B38D8"/>
    <w:rsid w:val="006B6F74"/>
    <w:rsid w:val="006B72DE"/>
    <w:rsid w:val="006C0492"/>
    <w:rsid w:val="006C0660"/>
    <w:rsid w:val="006C5639"/>
    <w:rsid w:val="006C5FC1"/>
    <w:rsid w:val="006C6CD3"/>
    <w:rsid w:val="006C755B"/>
    <w:rsid w:val="006D01FB"/>
    <w:rsid w:val="006D04C7"/>
    <w:rsid w:val="006D44E1"/>
    <w:rsid w:val="006D4646"/>
    <w:rsid w:val="006D4B87"/>
    <w:rsid w:val="006E0382"/>
    <w:rsid w:val="006E08B4"/>
    <w:rsid w:val="006E21FA"/>
    <w:rsid w:val="006E5711"/>
    <w:rsid w:val="006E6943"/>
    <w:rsid w:val="006F0FB7"/>
    <w:rsid w:val="006F2100"/>
    <w:rsid w:val="006F2536"/>
    <w:rsid w:val="006F40DA"/>
    <w:rsid w:val="006F45C3"/>
    <w:rsid w:val="006F4ADA"/>
    <w:rsid w:val="006F4CFF"/>
    <w:rsid w:val="006F58B5"/>
    <w:rsid w:val="006F7A4D"/>
    <w:rsid w:val="00700D37"/>
    <w:rsid w:val="00702B76"/>
    <w:rsid w:val="00702F39"/>
    <w:rsid w:val="00703129"/>
    <w:rsid w:val="007036D1"/>
    <w:rsid w:val="00704BF0"/>
    <w:rsid w:val="00704E5D"/>
    <w:rsid w:val="00705739"/>
    <w:rsid w:val="0071020C"/>
    <w:rsid w:val="0071291F"/>
    <w:rsid w:val="00713940"/>
    <w:rsid w:val="00720A7C"/>
    <w:rsid w:val="00722E80"/>
    <w:rsid w:val="007233CE"/>
    <w:rsid w:val="0072399D"/>
    <w:rsid w:val="00726088"/>
    <w:rsid w:val="007265D0"/>
    <w:rsid w:val="00730B6A"/>
    <w:rsid w:val="007317BA"/>
    <w:rsid w:val="007343DA"/>
    <w:rsid w:val="00734B38"/>
    <w:rsid w:val="00735CAF"/>
    <w:rsid w:val="00735E4D"/>
    <w:rsid w:val="00736D88"/>
    <w:rsid w:val="00736DD2"/>
    <w:rsid w:val="0074056B"/>
    <w:rsid w:val="00741CA6"/>
    <w:rsid w:val="00744B99"/>
    <w:rsid w:val="00746552"/>
    <w:rsid w:val="0074681C"/>
    <w:rsid w:val="00746EC2"/>
    <w:rsid w:val="0075646B"/>
    <w:rsid w:val="00757071"/>
    <w:rsid w:val="00760AF1"/>
    <w:rsid w:val="007639FE"/>
    <w:rsid w:val="007659CA"/>
    <w:rsid w:val="00773820"/>
    <w:rsid w:val="00775B04"/>
    <w:rsid w:val="007766AB"/>
    <w:rsid w:val="0077784C"/>
    <w:rsid w:val="00782BD8"/>
    <w:rsid w:val="00783993"/>
    <w:rsid w:val="007866CE"/>
    <w:rsid w:val="00791659"/>
    <w:rsid w:val="007934A4"/>
    <w:rsid w:val="007959AC"/>
    <w:rsid w:val="00795D5F"/>
    <w:rsid w:val="007978BD"/>
    <w:rsid w:val="007A017C"/>
    <w:rsid w:val="007A0212"/>
    <w:rsid w:val="007A20E0"/>
    <w:rsid w:val="007A4273"/>
    <w:rsid w:val="007A5336"/>
    <w:rsid w:val="007A7EAD"/>
    <w:rsid w:val="007B2204"/>
    <w:rsid w:val="007B35CC"/>
    <w:rsid w:val="007B4D6A"/>
    <w:rsid w:val="007B502E"/>
    <w:rsid w:val="007B5A7D"/>
    <w:rsid w:val="007B5CAC"/>
    <w:rsid w:val="007B6100"/>
    <w:rsid w:val="007B717C"/>
    <w:rsid w:val="007C6EFD"/>
    <w:rsid w:val="007C7492"/>
    <w:rsid w:val="007D2884"/>
    <w:rsid w:val="007D44F6"/>
    <w:rsid w:val="007D6021"/>
    <w:rsid w:val="007D6D94"/>
    <w:rsid w:val="007E5F0D"/>
    <w:rsid w:val="007F178B"/>
    <w:rsid w:val="007F63FD"/>
    <w:rsid w:val="007F7177"/>
    <w:rsid w:val="0080150E"/>
    <w:rsid w:val="008061D9"/>
    <w:rsid w:val="00810CCE"/>
    <w:rsid w:val="0081156A"/>
    <w:rsid w:val="00811575"/>
    <w:rsid w:val="008126B2"/>
    <w:rsid w:val="008211C8"/>
    <w:rsid w:val="00821404"/>
    <w:rsid w:val="0082283E"/>
    <w:rsid w:val="008245E8"/>
    <w:rsid w:val="00827398"/>
    <w:rsid w:val="00827587"/>
    <w:rsid w:val="0083120E"/>
    <w:rsid w:val="00836145"/>
    <w:rsid w:val="008374AB"/>
    <w:rsid w:val="00842974"/>
    <w:rsid w:val="008441F1"/>
    <w:rsid w:val="008458E8"/>
    <w:rsid w:val="008472DB"/>
    <w:rsid w:val="00847FB5"/>
    <w:rsid w:val="00852264"/>
    <w:rsid w:val="0085249A"/>
    <w:rsid w:val="008537BD"/>
    <w:rsid w:val="0085550A"/>
    <w:rsid w:val="00856FB7"/>
    <w:rsid w:val="008610F9"/>
    <w:rsid w:val="008616EF"/>
    <w:rsid w:val="00862B7E"/>
    <w:rsid w:val="0086349D"/>
    <w:rsid w:val="00863C25"/>
    <w:rsid w:val="00867620"/>
    <w:rsid w:val="00872977"/>
    <w:rsid w:val="00873394"/>
    <w:rsid w:val="00874792"/>
    <w:rsid w:val="00875A42"/>
    <w:rsid w:val="008767A3"/>
    <w:rsid w:val="00876DB5"/>
    <w:rsid w:val="008825BA"/>
    <w:rsid w:val="0088418B"/>
    <w:rsid w:val="008851F5"/>
    <w:rsid w:val="008859A2"/>
    <w:rsid w:val="008871F9"/>
    <w:rsid w:val="008904A8"/>
    <w:rsid w:val="00890AA4"/>
    <w:rsid w:val="00891FC7"/>
    <w:rsid w:val="0089516C"/>
    <w:rsid w:val="00896022"/>
    <w:rsid w:val="008A3AA4"/>
    <w:rsid w:val="008B0081"/>
    <w:rsid w:val="008B2B1A"/>
    <w:rsid w:val="008B49E8"/>
    <w:rsid w:val="008C051A"/>
    <w:rsid w:val="008C510F"/>
    <w:rsid w:val="008C7005"/>
    <w:rsid w:val="008D01B0"/>
    <w:rsid w:val="008D4826"/>
    <w:rsid w:val="008D5879"/>
    <w:rsid w:val="008E0F0D"/>
    <w:rsid w:val="008E24B3"/>
    <w:rsid w:val="008E2A16"/>
    <w:rsid w:val="008E3634"/>
    <w:rsid w:val="008E374B"/>
    <w:rsid w:val="008E39EA"/>
    <w:rsid w:val="008E4C6A"/>
    <w:rsid w:val="008E4DE3"/>
    <w:rsid w:val="008E5B3C"/>
    <w:rsid w:val="008E66B8"/>
    <w:rsid w:val="008F0B14"/>
    <w:rsid w:val="008F1988"/>
    <w:rsid w:val="008F2163"/>
    <w:rsid w:val="008F48F9"/>
    <w:rsid w:val="008F770B"/>
    <w:rsid w:val="00900EB0"/>
    <w:rsid w:val="00901F1A"/>
    <w:rsid w:val="009023F3"/>
    <w:rsid w:val="009036AD"/>
    <w:rsid w:val="0090383C"/>
    <w:rsid w:val="009051FB"/>
    <w:rsid w:val="00906588"/>
    <w:rsid w:val="009115E1"/>
    <w:rsid w:val="00912132"/>
    <w:rsid w:val="009125AC"/>
    <w:rsid w:val="00915989"/>
    <w:rsid w:val="00922FAD"/>
    <w:rsid w:val="00923949"/>
    <w:rsid w:val="00924F0A"/>
    <w:rsid w:val="00925E81"/>
    <w:rsid w:val="009264FE"/>
    <w:rsid w:val="00926954"/>
    <w:rsid w:val="0092708B"/>
    <w:rsid w:val="009278DD"/>
    <w:rsid w:val="00935A30"/>
    <w:rsid w:val="009373BA"/>
    <w:rsid w:val="009374EB"/>
    <w:rsid w:val="00937713"/>
    <w:rsid w:val="009432FC"/>
    <w:rsid w:val="00944372"/>
    <w:rsid w:val="0094549F"/>
    <w:rsid w:val="00946356"/>
    <w:rsid w:val="009469B3"/>
    <w:rsid w:val="009503E6"/>
    <w:rsid w:val="00950706"/>
    <w:rsid w:val="0095156E"/>
    <w:rsid w:val="0096349E"/>
    <w:rsid w:val="00963556"/>
    <w:rsid w:val="00963CC5"/>
    <w:rsid w:val="00966820"/>
    <w:rsid w:val="00967C4A"/>
    <w:rsid w:val="00971E4D"/>
    <w:rsid w:val="009729CB"/>
    <w:rsid w:val="00980037"/>
    <w:rsid w:val="00983B43"/>
    <w:rsid w:val="009840EA"/>
    <w:rsid w:val="0099026A"/>
    <w:rsid w:val="009A0479"/>
    <w:rsid w:val="009A4D8E"/>
    <w:rsid w:val="009A5EF9"/>
    <w:rsid w:val="009A79B6"/>
    <w:rsid w:val="009B2471"/>
    <w:rsid w:val="009B2481"/>
    <w:rsid w:val="009B5656"/>
    <w:rsid w:val="009B7531"/>
    <w:rsid w:val="009C0217"/>
    <w:rsid w:val="009C2B99"/>
    <w:rsid w:val="009C3034"/>
    <w:rsid w:val="009C37AB"/>
    <w:rsid w:val="009C4B96"/>
    <w:rsid w:val="009C5948"/>
    <w:rsid w:val="009C6042"/>
    <w:rsid w:val="009C6780"/>
    <w:rsid w:val="009C67EF"/>
    <w:rsid w:val="009D1900"/>
    <w:rsid w:val="009D1D3E"/>
    <w:rsid w:val="009D2FCA"/>
    <w:rsid w:val="009D3ABB"/>
    <w:rsid w:val="009D3CFC"/>
    <w:rsid w:val="009D5376"/>
    <w:rsid w:val="009E486A"/>
    <w:rsid w:val="009E669C"/>
    <w:rsid w:val="009E7024"/>
    <w:rsid w:val="009E737D"/>
    <w:rsid w:val="009E7B28"/>
    <w:rsid w:val="009F1270"/>
    <w:rsid w:val="009F210E"/>
    <w:rsid w:val="009F3C97"/>
    <w:rsid w:val="009F7267"/>
    <w:rsid w:val="009F73FB"/>
    <w:rsid w:val="00A00949"/>
    <w:rsid w:val="00A03732"/>
    <w:rsid w:val="00A038A4"/>
    <w:rsid w:val="00A03977"/>
    <w:rsid w:val="00A04C75"/>
    <w:rsid w:val="00A06F42"/>
    <w:rsid w:val="00A109FF"/>
    <w:rsid w:val="00A13898"/>
    <w:rsid w:val="00A141A6"/>
    <w:rsid w:val="00A1744B"/>
    <w:rsid w:val="00A21C78"/>
    <w:rsid w:val="00A226C9"/>
    <w:rsid w:val="00A2272B"/>
    <w:rsid w:val="00A23FAB"/>
    <w:rsid w:val="00A24174"/>
    <w:rsid w:val="00A26FF7"/>
    <w:rsid w:val="00A302BE"/>
    <w:rsid w:val="00A35865"/>
    <w:rsid w:val="00A35EFE"/>
    <w:rsid w:val="00A404F8"/>
    <w:rsid w:val="00A4334D"/>
    <w:rsid w:val="00A4349B"/>
    <w:rsid w:val="00A441B7"/>
    <w:rsid w:val="00A445DC"/>
    <w:rsid w:val="00A44642"/>
    <w:rsid w:val="00A44BEA"/>
    <w:rsid w:val="00A46FC2"/>
    <w:rsid w:val="00A474F0"/>
    <w:rsid w:val="00A5022A"/>
    <w:rsid w:val="00A52BDC"/>
    <w:rsid w:val="00A531FE"/>
    <w:rsid w:val="00A53572"/>
    <w:rsid w:val="00A55BAF"/>
    <w:rsid w:val="00A6208F"/>
    <w:rsid w:val="00A640A2"/>
    <w:rsid w:val="00A70B9A"/>
    <w:rsid w:val="00A711C6"/>
    <w:rsid w:val="00A75969"/>
    <w:rsid w:val="00A76120"/>
    <w:rsid w:val="00A76816"/>
    <w:rsid w:val="00A820EE"/>
    <w:rsid w:val="00A84863"/>
    <w:rsid w:val="00A84B17"/>
    <w:rsid w:val="00A84CC9"/>
    <w:rsid w:val="00A865E1"/>
    <w:rsid w:val="00A9006F"/>
    <w:rsid w:val="00A911B4"/>
    <w:rsid w:val="00A93CAC"/>
    <w:rsid w:val="00A95D95"/>
    <w:rsid w:val="00A977EC"/>
    <w:rsid w:val="00AA102F"/>
    <w:rsid w:val="00AA1382"/>
    <w:rsid w:val="00AA1B62"/>
    <w:rsid w:val="00AA2988"/>
    <w:rsid w:val="00AA3FD1"/>
    <w:rsid w:val="00AA4366"/>
    <w:rsid w:val="00AB00EE"/>
    <w:rsid w:val="00AB01FE"/>
    <w:rsid w:val="00AB393D"/>
    <w:rsid w:val="00AB5ED3"/>
    <w:rsid w:val="00AB6B0C"/>
    <w:rsid w:val="00AB6F5F"/>
    <w:rsid w:val="00AB70CD"/>
    <w:rsid w:val="00AC0E59"/>
    <w:rsid w:val="00AC2AC3"/>
    <w:rsid w:val="00AC419C"/>
    <w:rsid w:val="00AC48B3"/>
    <w:rsid w:val="00AC74B3"/>
    <w:rsid w:val="00AC7AC9"/>
    <w:rsid w:val="00AD0A78"/>
    <w:rsid w:val="00AD6A5A"/>
    <w:rsid w:val="00AE1920"/>
    <w:rsid w:val="00AE222F"/>
    <w:rsid w:val="00AE3FE0"/>
    <w:rsid w:val="00AE5B85"/>
    <w:rsid w:val="00AE751D"/>
    <w:rsid w:val="00AE79D9"/>
    <w:rsid w:val="00AF01B3"/>
    <w:rsid w:val="00AF04C3"/>
    <w:rsid w:val="00AF0F13"/>
    <w:rsid w:val="00AF2549"/>
    <w:rsid w:val="00AF29EA"/>
    <w:rsid w:val="00AF38CA"/>
    <w:rsid w:val="00AF3E15"/>
    <w:rsid w:val="00AF46C1"/>
    <w:rsid w:val="00AF47D7"/>
    <w:rsid w:val="00AF7992"/>
    <w:rsid w:val="00B00AB3"/>
    <w:rsid w:val="00B020A0"/>
    <w:rsid w:val="00B03029"/>
    <w:rsid w:val="00B0774A"/>
    <w:rsid w:val="00B11E3D"/>
    <w:rsid w:val="00B127CB"/>
    <w:rsid w:val="00B13192"/>
    <w:rsid w:val="00B14C52"/>
    <w:rsid w:val="00B1621A"/>
    <w:rsid w:val="00B200AA"/>
    <w:rsid w:val="00B23592"/>
    <w:rsid w:val="00B26423"/>
    <w:rsid w:val="00B310F6"/>
    <w:rsid w:val="00B31E79"/>
    <w:rsid w:val="00B320AB"/>
    <w:rsid w:val="00B33CC7"/>
    <w:rsid w:val="00B33D52"/>
    <w:rsid w:val="00B35068"/>
    <w:rsid w:val="00B3571F"/>
    <w:rsid w:val="00B37691"/>
    <w:rsid w:val="00B406C3"/>
    <w:rsid w:val="00B45B43"/>
    <w:rsid w:val="00B478C3"/>
    <w:rsid w:val="00B51ECB"/>
    <w:rsid w:val="00B53AF5"/>
    <w:rsid w:val="00B543FF"/>
    <w:rsid w:val="00B54D6B"/>
    <w:rsid w:val="00B571D6"/>
    <w:rsid w:val="00B61348"/>
    <w:rsid w:val="00B6263F"/>
    <w:rsid w:val="00B64911"/>
    <w:rsid w:val="00B66242"/>
    <w:rsid w:val="00B66655"/>
    <w:rsid w:val="00B67114"/>
    <w:rsid w:val="00B700BE"/>
    <w:rsid w:val="00B71DFC"/>
    <w:rsid w:val="00B71E9E"/>
    <w:rsid w:val="00B73149"/>
    <w:rsid w:val="00B73A53"/>
    <w:rsid w:val="00B75449"/>
    <w:rsid w:val="00B76DCA"/>
    <w:rsid w:val="00B81CC9"/>
    <w:rsid w:val="00B82704"/>
    <w:rsid w:val="00B82AB7"/>
    <w:rsid w:val="00B84D1F"/>
    <w:rsid w:val="00B91221"/>
    <w:rsid w:val="00B9295A"/>
    <w:rsid w:val="00B92A49"/>
    <w:rsid w:val="00B93219"/>
    <w:rsid w:val="00B94E1F"/>
    <w:rsid w:val="00B97A75"/>
    <w:rsid w:val="00BA0053"/>
    <w:rsid w:val="00BA162D"/>
    <w:rsid w:val="00BA3E06"/>
    <w:rsid w:val="00BA4823"/>
    <w:rsid w:val="00BA4825"/>
    <w:rsid w:val="00BA527C"/>
    <w:rsid w:val="00BB38B1"/>
    <w:rsid w:val="00BB3DAE"/>
    <w:rsid w:val="00BB46C0"/>
    <w:rsid w:val="00BB6392"/>
    <w:rsid w:val="00BB7494"/>
    <w:rsid w:val="00BC2DBE"/>
    <w:rsid w:val="00BC4FDB"/>
    <w:rsid w:val="00BC75AB"/>
    <w:rsid w:val="00BD1141"/>
    <w:rsid w:val="00BD1512"/>
    <w:rsid w:val="00BD5087"/>
    <w:rsid w:val="00BD64F1"/>
    <w:rsid w:val="00BE028E"/>
    <w:rsid w:val="00BE05E0"/>
    <w:rsid w:val="00BE07A9"/>
    <w:rsid w:val="00BE2990"/>
    <w:rsid w:val="00BE4E28"/>
    <w:rsid w:val="00BE62C7"/>
    <w:rsid w:val="00BF1733"/>
    <w:rsid w:val="00BF241B"/>
    <w:rsid w:val="00BF2867"/>
    <w:rsid w:val="00BF42D6"/>
    <w:rsid w:val="00BF5230"/>
    <w:rsid w:val="00C0194F"/>
    <w:rsid w:val="00C06000"/>
    <w:rsid w:val="00C06F4E"/>
    <w:rsid w:val="00C108CB"/>
    <w:rsid w:val="00C1090C"/>
    <w:rsid w:val="00C11E4B"/>
    <w:rsid w:val="00C12534"/>
    <w:rsid w:val="00C15F5E"/>
    <w:rsid w:val="00C2198D"/>
    <w:rsid w:val="00C240C8"/>
    <w:rsid w:val="00C2573B"/>
    <w:rsid w:val="00C2583E"/>
    <w:rsid w:val="00C25FA2"/>
    <w:rsid w:val="00C26227"/>
    <w:rsid w:val="00C26513"/>
    <w:rsid w:val="00C27691"/>
    <w:rsid w:val="00C27720"/>
    <w:rsid w:val="00C305E6"/>
    <w:rsid w:val="00C31769"/>
    <w:rsid w:val="00C3335D"/>
    <w:rsid w:val="00C333E0"/>
    <w:rsid w:val="00C35963"/>
    <w:rsid w:val="00C36706"/>
    <w:rsid w:val="00C367F7"/>
    <w:rsid w:val="00C36970"/>
    <w:rsid w:val="00C37F72"/>
    <w:rsid w:val="00C40707"/>
    <w:rsid w:val="00C4172B"/>
    <w:rsid w:val="00C420C1"/>
    <w:rsid w:val="00C439DF"/>
    <w:rsid w:val="00C43FED"/>
    <w:rsid w:val="00C45963"/>
    <w:rsid w:val="00C47138"/>
    <w:rsid w:val="00C472B8"/>
    <w:rsid w:val="00C506E2"/>
    <w:rsid w:val="00C50B01"/>
    <w:rsid w:val="00C52B06"/>
    <w:rsid w:val="00C53124"/>
    <w:rsid w:val="00C53B2E"/>
    <w:rsid w:val="00C53B7E"/>
    <w:rsid w:val="00C53E6A"/>
    <w:rsid w:val="00C57AB3"/>
    <w:rsid w:val="00C6019B"/>
    <w:rsid w:val="00C6160A"/>
    <w:rsid w:val="00C626A8"/>
    <w:rsid w:val="00C674EF"/>
    <w:rsid w:val="00C67623"/>
    <w:rsid w:val="00C80BCF"/>
    <w:rsid w:val="00C80D3A"/>
    <w:rsid w:val="00C82E05"/>
    <w:rsid w:val="00C83782"/>
    <w:rsid w:val="00C84E04"/>
    <w:rsid w:val="00C910BE"/>
    <w:rsid w:val="00C91B67"/>
    <w:rsid w:val="00C921C7"/>
    <w:rsid w:val="00C922BE"/>
    <w:rsid w:val="00C95A5E"/>
    <w:rsid w:val="00CA0B88"/>
    <w:rsid w:val="00CA46E1"/>
    <w:rsid w:val="00CA6B30"/>
    <w:rsid w:val="00CA7415"/>
    <w:rsid w:val="00CA7E34"/>
    <w:rsid w:val="00CB00FC"/>
    <w:rsid w:val="00CB22E8"/>
    <w:rsid w:val="00CB265C"/>
    <w:rsid w:val="00CB54E3"/>
    <w:rsid w:val="00CB5EA9"/>
    <w:rsid w:val="00CB7A07"/>
    <w:rsid w:val="00CC197C"/>
    <w:rsid w:val="00CC3077"/>
    <w:rsid w:val="00CC4805"/>
    <w:rsid w:val="00CC4D4D"/>
    <w:rsid w:val="00CC59BB"/>
    <w:rsid w:val="00CC5B6E"/>
    <w:rsid w:val="00CC6419"/>
    <w:rsid w:val="00CD2DAB"/>
    <w:rsid w:val="00CD3CC5"/>
    <w:rsid w:val="00CD47F5"/>
    <w:rsid w:val="00CD58DD"/>
    <w:rsid w:val="00CD635D"/>
    <w:rsid w:val="00CD6C6D"/>
    <w:rsid w:val="00CD7476"/>
    <w:rsid w:val="00CD7CED"/>
    <w:rsid w:val="00CE03D0"/>
    <w:rsid w:val="00CE04C7"/>
    <w:rsid w:val="00CE0CAE"/>
    <w:rsid w:val="00CE2155"/>
    <w:rsid w:val="00CE2517"/>
    <w:rsid w:val="00CE531B"/>
    <w:rsid w:val="00CE54C9"/>
    <w:rsid w:val="00CE68B5"/>
    <w:rsid w:val="00CF0010"/>
    <w:rsid w:val="00CF0665"/>
    <w:rsid w:val="00CF156B"/>
    <w:rsid w:val="00CF1E02"/>
    <w:rsid w:val="00CF3463"/>
    <w:rsid w:val="00CF597A"/>
    <w:rsid w:val="00CF6238"/>
    <w:rsid w:val="00D01464"/>
    <w:rsid w:val="00D05BAA"/>
    <w:rsid w:val="00D06755"/>
    <w:rsid w:val="00D06825"/>
    <w:rsid w:val="00D10469"/>
    <w:rsid w:val="00D105CE"/>
    <w:rsid w:val="00D131D8"/>
    <w:rsid w:val="00D132C7"/>
    <w:rsid w:val="00D13329"/>
    <w:rsid w:val="00D13B7A"/>
    <w:rsid w:val="00D15AB1"/>
    <w:rsid w:val="00D22BF8"/>
    <w:rsid w:val="00D22C4B"/>
    <w:rsid w:val="00D230C7"/>
    <w:rsid w:val="00D23E7D"/>
    <w:rsid w:val="00D2405F"/>
    <w:rsid w:val="00D24548"/>
    <w:rsid w:val="00D27948"/>
    <w:rsid w:val="00D30C7F"/>
    <w:rsid w:val="00D36F79"/>
    <w:rsid w:val="00D41B0D"/>
    <w:rsid w:val="00D41BA9"/>
    <w:rsid w:val="00D43B99"/>
    <w:rsid w:val="00D456DF"/>
    <w:rsid w:val="00D460CD"/>
    <w:rsid w:val="00D475E4"/>
    <w:rsid w:val="00D47751"/>
    <w:rsid w:val="00D53A4C"/>
    <w:rsid w:val="00D57DAF"/>
    <w:rsid w:val="00D612C2"/>
    <w:rsid w:val="00D613DF"/>
    <w:rsid w:val="00D651BE"/>
    <w:rsid w:val="00D745E0"/>
    <w:rsid w:val="00D7538B"/>
    <w:rsid w:val="00D76AA3"/>
    <w:rsid w:val="00D77603"/>
    <w:rsid w:val="00D80604"/>
    <w:rsid w:val="00D86963"/>
    <w:rsid w:val="00D90830"/>
    <w:rsid w:val="00D91C0D"/>
    <w:rsid w:val="00D927C3"/>
    <w:rsid w:val="00D93603"/>
    <w:rsid w:val="00D94FE7"/>
    <w:rsid w:val="00D96802"/>
    <w:rsid w:val="00DA0765"/>
    <w:rsid w:val="00DA086B"/>
    <w:rsid w:val="00DA1014"/>
    <w:rsid w:val="00DA15F3"/>
    <w:rsid w:val="00DA419D"/>
    <w:rsid w:val="00DA4D23"/>
    <w:rsid w:val="00DA5148"/>
    <w:rsid w:val="00DA7E05"/>
    <w:rsid w:val="00DB1B1D"/>
    <w:rsid w:val="00DB2D84"/>
    <w:rsid w:val="00DB2F2C"/>
    <w:rsid w:val="00DB30F7"/>
    <w:rsid w:val="00DB33D6"/>
    <w:rsid w:val="00DB4041"/>
    <w:rsid w:val="00DB4794"/>
    <w:rsid w:val="00DB499D"/>
    <w:rsid w:val="00DB5C3E"/>
    <w:rsid w:val="00DB61B9"/>
    <w:rsid w:val="00DB628E"/>
    <w:rsid w:val="00DB6C0A"/>
    <w:rsid w:val="00DB7646"/>
    <w:rsid w:val="00DC26BB"/>
    <w:rsid w:val="00DC445E"/>
    <w:rsid w:val="00DC448F"/>
    <w:rsid w:val="00DC5A7C"/>
    <w:rsid w:val="00DC705F"/>
    <w:rsid w:val="00DD0AF2"/>
    <w:rsid w:val="00DD0EA1"/>
    <w:rsid w:val="00DD1446"/>
    <w:rsid w:val="00DD19DE"/>
    <w:rsid w:val="00DD6312"/>
    <w:rsid w:val="00DD6ADD"/>
    <w:rsid w:val="00DD6E16"/>
    <w:rsid w:val="00DE084F"/>
    <w:rsid w:val="00DE09B9"/>
    <w:rsid w:val="00DE2164"/>
    <w:rsid w:val="00DE3DED"/>
    <w:rsid w:val="00DE5DA7"/>
    <w:rsid w:val="00DE7779"/>
    <w:rsid w:val="00DF06E8"/>
    <w:rsid w:val="00DF2392"/>
    <w:rsid w:val="00DF54D6"/>
    <w:rsid w:val="00DF57B3"/>
    <w:rsid w:val="00DF782C"/>
    <w:rsid w:val="00DF7896"/>
    <w:rsid w:val="00DF7906"/>
    <w:rsid w:val="00E00A6A"/>
    <w:rsid w:val="00E0168D"/>
    <w:rsid w:val="00E030A0"/>
    <w:rsid w:val="00E03B2C"/>
    <w:rsid w:val="00E03C32"/>
    <w:rsid w:val="00E12483"/>
    <w:rsid w:val="00E124E3"/>
    <w:rsid w:val="00E12F70"/>
    <w:rsid w:val="00E14812"/>
    <w:rsid w:val="00E15DDE"/>
    <w:rsid w:val="00E170B7"/>
    <w:rsid w:val="00E2120B"/>
    <w:rsid w:val="00E21790"/>
    <w:rsid w:val="00E2239A"/>
    <w:rsid w:val="00E22863"/>
    <w:rsid w:val="00E22D24"/>
    <w:rsid w:val="00E2339E"/>
    <w:rsid w:val="00E3245B"/>
    <w:rsid w:val="00E3317E"/>
    <w:rsid w:val="00E346BD"/>
    <w:rsid w:val="00E3707B"/>
    <w:rsid w:val="00E42126"/>
    <w:rsid w:val="00E42EA0"/>
    <w:rsid w:val="00E43FD1"/>
    <w:rsid w:val="00E44B3D"/>
    <w:rsid w:val="00E458A2"/>
    <w:rsid w:val="00E45A2C"/>
    <w:rsid w:val="00E45A4E"/>
    <w:rsid w:val="00E47546"/>
    <w:rsid w:val="00E505AD"/>
    <w:rsid w:val="00E50685"/>
    <w:rsid w:val="00E52A7C"/>
    <w:rsid w:val="00E531BB"/>
    <w:rsid w:val="00E53FD6"/>
    <w:rsid w:val="00E56F4A"/>
    <w:rsid w:val="00E575C8"/>
    <w:rsid w:val="00E57AD4"/>
    <w:rsid w:val="00E57F6B"/>
    <w:rsid w:val="00E63823"/>
    <w:rsid w:val="00E64313"/>
    <w:rsid w:val="00E67265"/>
    <w:rsid w:val="00E71747"/>
    <w:rsid w:val="00E72184"/>
    <w:rsid w:val="00E72904"/>
    <w:rsid w:val="00E730AB"/>
    <w:rsid w:val="00E7342C"/>
    <w:rsid w:val="00E752A0"/>
    <w:rsid w:val="00E76472"/>
    <w:rsid w:val="00E7727E"/>
    <w:rsid w:val="00E772C4"/>
    <w:rsid w:val="00E772E9"/>
    <w:rsid w:val="00E77EF3"/>
    <w:rsid w:val="00E82946"/>
    <w:rsid w:val="00E83CFA"/>
    <w:rsid w:val="00E86C0C"/>
    <w:rsid w:val="00E86D4F"/>
    <w:rsid w:val="00E90E09"/>
    <w:rsid w:val="00E92EB8"/>
    <w:rsid w:val="00E938C0"/>
    <w:rsid w:val="00E967EC"/>
    <w:rsid w:val="00E96D81"/>
    <w:rsid w:val="00E972C4"/>
    <w:rsid w:val="00E9786E"/>
    <w:rsid w:val="00EA010E"/>
    <w:rsid w:val="00EA0194"/>
    <w:rsid w:val="00EA1789"/>
    <w:rsid w:val="00EA19FE"/>
    <w:rsid w:val="00EA1C50"/>
    <w:rsid w:val="00EA1FC8"/>
    <w:rsid w:val="00EA2428"/>
    <w:rsid w:val="00EA4A6A"/>
    <w:rsid w:val="00EA710C"/>
    <w:rsid w:val="00EA7BC3"/>
    <w:rsid w:val="00EB03A8"/>
    <w:rsid w:val="00EB0E51"/>
    <w:rsid w:val="00EB1E33"/>
    <w:rsid w:val="00EB6C84"/>
    <w:rsid w:val="00EB7528"/>
    <w:rsid w:val="00EC0881"/>
    <w:rsid w:val="00EC0D81"/>
    <w:rsid w:val="00EC2863"/>
    <w:rsid w:val="00EC291F"/>
    <w:rsid w:val="00EC2E19"/>
    <w:rsid w:val="00EC3063"/>
    <w:rsid w:val="00EC653B"/>
    <w:rsid w:val="00EC6EAC"/>
    <w:rsid w:val="00ED501C"/>
    <w:rsid w:val="00ED5838"/>
    <w:rsid w:val="00EE2D8C"/>
    <w:rsid w:val="00EE38BA"/>
    <w:rsid w:val="00EE4AF5"/>
    <w:rsid w:val="00EE6284"/>
    <w:rsid w:val="00EE7505"/>
    <w:rsid w:val="00EE797F"/>
    <w:rsid w:val="00EF1088"/>
    <w:rsid w:val="00EF54B0"/>
    <w:rsid w:val="00EF7B36"/>
    <w:rsid w:val="00F00609"/>
    <w:rsid w:val="00F00F45"/>
    <w:rsid w:val="00F02F03"/>
    <w:rsid w:val="00F04799"/>
    <w:rsid w:val="00F125D9"/>
    <w:rsid w:val="00F1263C"/>
    <w:rsid w:val="00F12C8D"/>
    <w:rsid w:val="00F1403D"/>
    <w:rsid w:val="00F16147"/>
    <w:rsid w:val="00F200CA"/>
    <w:rsid w:val="00F20B57"/>
    <w:rsid w:val="00F214AD"/>
    <w:rsid w:val="00F218FB"/>
    <w:rsid w:val="00F23B70"/>
    <w:rsid w:val="00F259F8"/>
    <w:rsid w:val="00F27C19"/>
    <w:rsid w:val="00F35457"/>
    <w:rsid w:val="00F3595B"/>
    <w:rsid w:val="00F365F4"/>
    <w:rsid w:val="00F366E8"/>
    <w:rsid w:val="00F426A6"/>
    <w:rsid w:val="00F428C6"/>
    <w:rsid w:val="00F429FD"/>
    <w:rsid w:val="00F42A29"/>
    <w:rsid w:val="00F4413B"/>
    <w:rsid w:val="00F4700F"/>
    <w:rsid w:val="00F543F1"/>
    <w:rsid w:val="00F560AF"/>
    <w:rsid w:val="00F56399"/>
    <w:rsid w:val="00F66857"/>
    <w:rsid w:val="00F672BF"/>
    <w:rsid w:val="00F675F3"/>
    <w:rsid w:val="00F701CB"/>
    <w:rsid w:val="00F7408E"/>
    <w:rsid w:val="00F7750A"/>
    <w:rsid w:val="00F80006"/>
    <w:rsid w:val="00F80084"/>
    <w:rsid w:val="00F86257"/>
    <w:rsid w:val="00F862AE"/>
    <w:rsid w:val="00F87107"/>
    <w:rsid w:val="00F90A67"/>
    <w:rsid w:val="00F91324"/>
    <w:rsid w:val="00F92A03"/>
    <w:rsid w:val="00F95676"/>
    <w:rsid w:val="00F9593C"/>
    <w:rsid w:val="00F959BB"/>
    <w:rsid w:val="00FA0365"/>
    <w:rsid w:val="00FA05C7"/>
    <w:rsid w:val="00FA095D"/>
    <w:rsid w:val="00FA1FEE"/>
    <w:rsid w:val="00FA34D6"/>
    <w:rsid w:val="00FA7EA5"/>
    <w:rsid w:val="00FB23C6"/>
    <w:rsid w:val="00FB57E5"/>
    <w:rsid w:val="00FB72F6"/>
    <w:rsid w:val="00FC15D0"/>
    <w:rsid w:val="00FC330F"/>
    <w:rsid w:val="00FD1C05"/>
    <w:rsid w:val="00FD2470"/>
    <w:rsid w:val="00FD44B0"/>
    <w:rsid w:val="00FD48AE"/>
    <w:rsid w:val="00FD48D1"/>
    <w:rsid w:val="00FD48EC"/>
    <w:rsid w:val="00FD5823"/>
    <w:rsid w:val="00FE1509"/>
    <w:rsid w:val="00FE1C27"/>
    <w:rsid w:val="00FE486C"/>
    <w:rsid w:val="00FE5BFD"/>
    <w:rsid w:val="00FE5C31"/>
    <w:rsid w:val="00FF1D69"/>
    <w:rsid w:val="00FF372F"/>
    <w:rsid w:val="00FF46D4"/>
    <w:rsid w:val="00FF605B"/>
    <w:rsid w:val="00FF748B"/>
    <w:rsid w:val="0139187D"/>
    <w:rsid w:val="024D02DF"/>
    <w:rsid w:val="03C437D1"/>
    <w:rsid w:val="03E36090"/>
    <w:rsid w:val="061C6132"/>
    <w:rsid w:val="0624609C"/>
    <w:rsid w:val="06593DB8"/>
    <w:rsid w:val="076120D2"/>
    <w:rsid w:val="08117553"/>
    <w:rsid w:val="08474F44"/>
    <w:rsid w:val="08DE227F"/>
    <w:rsid w:val="09997799"/>
    <w:rsid w:val="09BB4FDC"/>
    <w:rsid w:val="0A0D66CD"/>
    <w:rsid w:val="0B8C7102"/>
    <w:rsid w:val="0BFE185E"/>
    <w:rsid w:val="0D7E5BD5"/>
    <w:rsid w:val="0E5C32A1"/>
    <w:rsid w:val="0ED70EDA"/>
    <w:rsid w:val="0F057059"/>
    <w:rsid w:val="0FED5DD1"/>
    <w:rsid w:val="10122C27"/>
    <w:rsid w:val="10FE65F7"/>
    <w:rsid w:val="11507038"/>
    <w:rsid w:val="11D349A1"/>
    <w:rsid w:val="12314A32"/>
    <w:rsid w:val="12A60D0F"/>
    <w:rsid w:val="12AE585A"/>
    <w:rsid w:val="13F83F60"/>
    <w:rsid w:val="14521925"/>
    <w:rsid w:val="1561661E"/>
    <w:rsid w:val="15892C8F"/>
    <w:rsid w:val="15F248F6"/>
    <w:rsid w:val="162B6690"/>
    <w:rsid w:val="169D194D"/>
    <w:rsid w:val="17104390"/>
    <w:rsid w:val="174F2F5C"/>
    <w:rsid w:val="18141BCC"/>
    <w:rsid w:val="18FF10E6"/>
    <w:rsid w:val="19083B55"/>
    <w:rsid w:val="1A3C62D5"/>
    <w:rsid w:val="1B501F59"/>
    <w:rsid w:val="1BFB0944"/>
    <w:rsid w:val="1C0818B6"/>
    <w:rsid w:val="1C166547"/>
    <w:rsid w:val="1CD043FE"/>
    <w:rsid w:val="1D8D536F"/>
    <w:rsid w:val="1DCF79B1"/>
    <w:rsid w:val="1DEA6DA4"/>
    <w:rsid w:val="1E1E46CE"/>
    <w:rsid w:val="1E3A6FCA"/>
    <w:rsid w:val="1E531F63"/>
    <w:rsid w:val="1FB16C12"/>
    <w:rsid w:val="2150290C"/>
    <w:rsid w:val="21C64BD7"/>
    <w:rsid w:val="22F06AF3"/>
    <w:rsid w:val="231F3BCF"/>
    <w:rsid w:val="23326648"/>
    <w:rsid w:val="23952658"/>
    <w:rsid w:val="23FF41ED"/>
    <w:rsid w:val="255A4E2F"/>
    <w:rsid w:val="26C84115"/>
    <w:rsid w:val="272251CB"/>
    <w:rsid w:val="276031D1"/>
    <w:rsid w:val="283400EC"/>
    <w:rsid w:val="284F224E"/>
    <w:rsid w:val="289F4F9A"/>
    <w:rsid w:val="29222722"/>
    <w:rsid w:val="298F26BA"/>
    <w:rsid w:val="29985BED"/>
    <w:rsid w:val="29CD3AF4"/>
    <w:rsid w:val="2ABE3657"/>
    <w:rsid w:val="2B530F2E"/>
    <w:rsid w:val="2B9E7907"/>
    <w:rsid w:val="2C8A0A03"/>
    <w:rsid w:val="2CA75045"/>
    <w:rsid w:val="2D624834"/>
    <w:rsid w:val="30BB614D"/>
    <w:rsid w:val="31305C32"/>
    <w:rsid w:val="31AC0D6D"/>
    <w:rsid w:val="329448EE"/>
    <w:rsid w:val="32B23A35"/>
    <w:rsid w:val="32EF7444"/>
    <w:rsid w:val="33797D65"/>
    <w:rsid w:val="34A03094"/>
    <w:rsid w:val="35ED3317"/>
    <w:rsid w:val="3636459D"/>
    <w:rsid w:val="36510160"/>
    <w:rsid w:val="36BC0F9C"/>
    <w:rsid w:val="371158E2"/>
    <w:rsid w:val="372640AC"/>
    <w:rsid w:val="37633636"/>
    <w:rsid w:val="38446701"/>
    <w:rsid w:val="398B3028"/>
    <w:rsid w:val="39A80E07"/>
    <w:rsid w:val="39BE04FE"/>
    <w:rsid w:val="3AD907E2"/>
    <w:rsid w:val="3B297007"/>
    <w:rsid w:val="3BD502BB"/>
    <w:rsid w:val="3BE66140"/>
    <w:rsid w:val="3CED1134"/>
    <w:rsid w:val="3D161EDC"/>
    <w:rsid w:val="3DD6485D"/>
    <w:rsid w:val="405C40A1"/>
    <w:rsid w:val="410A0E87"/>
    <w:rsid w:val="41441BB0"/>
    <w:rsid w:val="415C1B94"/>
    <w:rsid w:val="42262DB3"/>
    <w:rsid w:val="424B4581"/>
    <w:rsid w:val="44B7446E"/>
    <w:rsid w:val="45BD69DB"/>
    <w:rsid w:val="45FE4003"/>
    <w:rsid w:val="47347B27"/>
    <w:rsid w:val="480F487C"/>
    <w:rsid w:val="488D4268"/>
    <w:rsid w:val="48D16DC1"/>
    <w:rsid w:val="498A13FE"/>
    <w:rsid w:val="499E02CE"/>
    <w:rsid w:val="499F2BAA"/>
    <w:rsid w:val="4AD27AAF"/>
    <w:rsid w:val="4B486DD1"/>
    <w:rsid w:val="4B637EFA"/>
    <w:rsid w:val="4B7E6C26"/>
    <w:rsid w:val="4B9F4522"/>
    <w:rsid w:val="4C7D08C5"/>
    <w:rsid w:val="4D140805"/>
    <w:rsid w:val="4E051CC4"/>
    <w:rsid w:val="4E7B72DB"/>
    <w:rsid w:val="4FAF3987"/>
    <w:rsid w:val="4FF41D40"/>
    <w:rsid w:val="50D46546"/>
    <w:rsid w:val="545F2FD2"/>
    <w:rsid w:val="54B335C6"/>
    <w:rsid w:val="560C5C4A"/>
    <w:rsid w:val="56757F22"/>
    <w:rsid w:val="571F6A54"/>
    <w:rsid w:val="59CD5CB3"/>
    <w:rsid w:val="59E92286"/>
    <w:rsid w:val="5B572266"/>
    <w:rsid w:val="5B8E08FB"/>
    <w:rsid w:val="5C8F63E0"/>
    <w:rsid w:val="5DEE19E2"/>
    <w:rsid w:val="5E633F23"/>
    <w:rsid w:val="5FBA6F97"/>
    <w:rsid w:val="5FF802BF"/>
    <w:rsid w:val="600C4893"/>
    <w:rsid w:val="610A58B6"/>
    <w:rsid w:val="61532F70"/>
    <w:rsid w:val="61C01273"/>
    <w:rsid w:val="62593010"/>
    <w:rsid w:val="62CF018A"/>
    <w:rsid w:val="63873715"/>
    <w:rsid w:val="63BC2785"/>
    <w:rsid w:val="64895199"/>
    <w:rsid w:val="64B36D3B"/>
    <w:rsid w:val="64BE06BA"/>
    <w:rsid w:val="64BF55EE"/>
    <w:rsid w:val="64EF2B3A"/>
    <w:rsid w:val="663D72DA"/>
    <w:rsid w:val="67147DF3"/>
    <w:rsid w:val="67DD5C5B"/>
    <w:rsid w:val="693A7C21"/>
    <w:rsid w:val="699010DA"/>
    <w:rsid w:val="6BB04D02"/>
    <w:rsid w:val="6BC752C3"/>
    <w:rsid w:val="6D1C5331"/>
    <w:rsid w:val="6D29066A"/>
    <w:rsid w:val="6DEA438C"/>
    <w:rsid w:val="6EB147FB"/>
    <w:rsid w:val="6ED56E60"/>
    <w:rsid w:val="6EE51EE4"/>
    <w:rsid w:val="6FDA50BB"/>
    <w:rsid w:val="712A06D6"/>
    <w:rsid w:val="719F43F8"/>
    <w:rsid w:val="71D6656B"/>
    <w:rsid w:val="7287440F"/>
    <w:rsid w:val="729C5716"/>
    <w:rsid w:val="744E400E"/>
    <w:rsid w:val="7477081C"/>
    <w:rsid w:val="75C10807"/>
    <w:rsid w:val="761A24DA"/>
    <w:rsid w:val="761D3FF0"/>
    <w:rsid w:val="76EC7ECF"/>
    <w:rsid w:val="76F96005"/>
    <w:rsid w:val="78AA44FB"/>
    <w:rsid w:val="78C872BC"/>
    <w:rsid w:val="79C25C64"/>
    <w:rsid w:val="7AEE1B5D"/>
    <w:rsid w:val="7B5173C7"/>
    <w:rsid w:val="7CBC1904"/>
    <w:rsid w:val="7D820B6D"/>
    <w:rsid w:val="7D8776DC"/>
    <w:rsid w:val="7D9123C8"/>
    <w:rsid w:val="7DB34E98"/>
    <w:rsid w:val="7E0F5FB3"/>
    <w:rsid w:val="7E920BF1"/>
    <w:rsid w:val="7EAE349A"/>
    <w:rsid w:val="7FB8770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98"/>
    <w:qFormat/>
    <w:uiPriority w:val="9"/>
    <w:pPr>
      <w:keepNext/>
      <w:keepLines/>
      <w:spacing w:line="413" w:lineRule="auto"/>
      <w:outlineLvl w:val="1"/>
    </w:pPr>
    <w:rPr>
      <w:rFonts w:ascii="Arial" w:hAnsi="Arial" w:eastAsia="黑体"/>
      <w:b/>
      <w:sz w:val="32"/>
    </w:rPr>
  </w:style>
  <w:style w:type="paragraph" w:styleId="6">
    <w:name w:val="heading 3"/>
    <w:basedOn w:val="1"/>
    <w:next w:val="1"/>
    <w:link w:val="102"/>
    <w:qFormat/>
    <w:uiPriority w:val="0"/>
    <w:pPr>
      <w:keepNext/>
      <w:keepLines/>
      <w:spacing w:line="413" w:lineRule="auto"/>
      <w:outlineLvl w:val="2"/>
    </w:pPr>
    <w:rPr>
      <w:b/>
      <w:sz w:val="32"/>
    </w:rPr>
  </w:style>
  <w:style w:type="paragraph" w:styleId="7">
    <w:name w:val="heading 4"/>
    <w:basedOn w:val="1"/>
    <w:next w:val="1"/>
    <w:qFormat/>
    <w:uiPriority w:val="0"/>
    <w:pPr>
      <w:keepNext/>
      <w:keepLines/>
      <w:spacing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6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qFormat/>
    <w:uiPriority w:val="0"/>
    <w:rPr>
      <w:rFonts w:ascii="仿宋_GB2312" w:eastAsia="仿宋_GB2312"/>
      <w:sz w:val="32"/>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annotation subject"/>
    <w:basedOn w:val="15"/>
    <w:next w:val="15"/>
    <w:link w:val="85"/>
    <w:qFormat/>
    <w:uiPriority w:val="0"/>
    <w:pPr>
      <w:adjustRightInd/>
      <w:spacing w:line="240" w:lineRule="auto"/>
      <w:textAlignment w:val="auto"/>
    </w:pPr>
  </w:style>
  <w:style w:type="paragraph" w:styleId="15">
    <w:name w:val="annotation text"/>
    <w:basedOn w:val="1"/>
    <w:link w:val="83"/>
    <w:qFormat/>
    <w:uiPriority w:val="0"/>
    <w:pPr>
      <w:adjustRightInd w:val="0"/>
      <w:spacing w:line="360" w:lineRule="atLeast"/>
      <w:jc w:val="left"/>
      <w:textAlignment w:val="baseline"/>
    </w:pPr>
    <w:rPr>
      <w:kern w:val="0"/>
      <w:sz w:val="24"/>
    </w:rPr>
  </w:style>
  <w:style w:type="paragraph" w:styleId="16">
    <w:name w:val="toc 7"/>
    <w:basedOn w:val="1"/>
    <w:next w:val="1"/>
    <w:qFormat/>
    <w:uiPriority w:val="0"/>
    <w:pPr>
      <w:ind w:left="2520" w:leftChars="1200"/>
    </w:pPr>
  </w:style>
  <w:style w:type="paragraph" w:styleId="17">
    <w:name w:val="List Number 2"/>
    <w:basedOn w:val="1"/>
    <w:qFormat/>
    <w:uiPriority w:val="0"/>
    <w:pPr>
      <w:numPr>
        <w:ilvl w:val="0"/>
        <w:numId w:val="1"/>
      </w:numPr>
      <w:tabs>
        <w:tab w:val="left" w:pos="780"/>
        <w:tab w:val="clear" w:pos="425"/>
      </w:tabs>
      <w:spacing w:line="360" w:lineRule="auto"/>
    </w:pPr>
    <w:rPr>
      <w:sz w:val="24"/>
    </w:rPr>
  </w:style>
  <w:style w:type="paragraph" w:styleId="18">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9">
    <w:name w:val="Normal Indent"/>
    <w:basedOn w:val="1"/>
    <w:link w:val="81"/>
    <w:qFormat/>
    <w:uiPriority w:val="0"/>
    <w:pPr>
      <w:adjustRightInd w:val="0"/>
      <w:snapToGrid w:val="0"/>
      <w:spacing w:line="360" w:lineRule="auto"/>
      <w:ind w:firstLine="420"/>
    </w:pPr>
    <w:rPr>
      <w:sz w:val="24"/>
    </w:rPr>
  </w:style>
  <w:style w:type="paragraph" w:styleId="20">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1">
    <w:name w:val="Document Map"/>
    <w:basedOn w:val="1"/>
    <w:qFormat/>
    <w:uiPriority w:val="0"/>
    <w:pPr>
      <w:shd w:val="clear" w:color="auto" w:fill="000080"/>
    </w:pPr>
  </w:style>
  <w:style w:type="paragraph" w:styleId="22">
    <w:name w:val="toa heading"/>
    <w:basedOn w:val="1"/>
    <w:next w:val="1"/>
    <w:qFormat/>
    <w:uiPriority w:val="0"/>
    <w:rPr>
      <w:rFonts w:ascii="Arial" w:hAnsi="Arial"/>
      <w:sz w:val="24"/>
    </w:rPr>
  </w:style>
  <w:style w:type="paragraph" w:styleId="23">
    <w:name w:val="Body Text 3"/>
    <w:basedOn w:val="1"/>
    <w:qFormat/>
    <w:uiPriority w:val="0"/>
    <w:pPr>
      <w:adjustRightInd w:val="0"/>
      <w:snapToGrid w:val="0"/>
      <w:spacing w:line="360" w:lineRule="auto"/>
    </w:pPr>
    <w:rPr>
      <w:sz w:val="16"/>
    </w:rPr>
  </w:style>
  <w:style w:type="paragraph" w:styleId="24">
    <w:name w:val="List Bullet 3"/>
    <w:basedOn w:val="1"/>
    <w:qFormat/>
    <w:uiPriority w:val="0"/>
    <w:pPr>
      <w:numPr>
        <w:ilvl w:val="0"/>
        <w:numId w:val="2"/>
      </w:numPr>
      <w:adjustRightInd w:val="0"/>
      <w:snapToGrid w:val="0"/>
      <w:spacing w:line="360" w:lineRule="auto"/>
    </w:pPr>
    <w:rPr>
      <w:sz w:val="24"/>
    </w:rPr>
  </w:style>
  <w:style w:type="paragraph" w:styleId="25">
    <w:name w:val="Body Text Indent"/>
    <w:basedOn w:val="1"/>
    <w:link w:val="88"/>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line="360" w:lineRule="auto"/>
      <w:ind w:left="420" w:leftChars="200"/>
    </w:pPr>
    <w:rPr>
      <w:sz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index 4"/>
    <w:basedOn w:val="1"/>
    <w:next w:val="1"/>
    <w:uiPriority w:val="0"/>
    <w:pPr>
      <w:ind w:left="600" w:leftChars="600"/>
    </w:pPr>
    <w:rPr>
      <w:rFonts w:ascii="Verdana" w:hAnsi="Verdana"/>
      <w:szCs w:val="20"/>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89"/>
    <w:qFormat/>
    <w:uiPriority w:val="0"/>
  </w:style>
  <w:style w:type="paragraph" w:styleId="36">
    <w:name w:val="Body Text Indent 2"/>
    <w:basedOn w:val="1"/>
    <w:link w:val="109"/>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qFormat/>
    <w:uiPriority w:val="0"/>
    <w:pPr>
      <w:tabs>
        <w:tab w:val="center" w:pos="4153"/>
        <w:tab w:val="right" w:pos="8306"/>
      </w:tabs>
      <w:snapToGrid w:val="0"/>
      <w:jc w:val="left"/>
    </w:pPr>
    <w:rPr>
      <w:sz w:val="18"/>
    </w:rPr>
  </w:style>
  <w:style w:type="paragraph" w:styleId="39">
    <w:name w:val="Body Text First Indent 2"/>
    <w:basedOn w:val="25"/>
    <w:link w:val="110"/>
    <w:qFormat/>
    <w:uiPriority w:val="0"/>
    <w:pPr>
      <w:spacing w:line="240" w:lineRule="auto"/>
      <w:ind w:left="420" w:leftChars="200" w:firstLine="420" w:firstLineChars="200"/>
    </w:pPr>
  </w:style>
  <w:style w:type="paragraph" w:styleId="40">
    <w:name w:val="header"/>
    <w:basedOn w:val="1"/>
    <w:link w:val="86"/>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link w:val="99"/>
    <w:qFormat/>
    <w:uiPriority w:val="11"/>
    <w:pPr>
      <w:spacing w:before="240" w:after="60" w:line="312" w:lineRule="auto"/>
      <w:jc w:val="center"/>
      <w:outlineLvl w:val="1"/>
    </w:pPr>
    <w:rPr>
      <w:rFonts w:ascii="Cambria" w:hAnsi="Cambria"/>
      <w:b/>
      <w:bCs/>
      <w:kern w:val="28"/>
      <w:sz w:val="32"/>
      <w:szCs w:val="32"/>
    </w:rPr>
  </w:style>
  <w:style w:type="paragraph" w:styleId="45">
    <w:name w:val="footnote text"/>
    <w:basedOn w:val="1"/>
    <w:link w:val="93"/>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line="360" w:lineRule="auto"/>
      <w:ind w:left="840" w:leftChars="400"/>
    </w:pPr>
    <w:rPr>
      <w:sz w:val="24"/>
    </w:rPr>
  </w:style>
  <w:style w:type="paragraph" w:styleId="55">
    <w:name w:val="Normal (Web)"/>
    <w:basedOn w:val="1"/>
    <w:qFormat/>
    <w:uiPriority w:val="0"/>
    <w:pPr>
      <w:widowControl/>
      <w:spacing w:beforeAutospacing="1" w:afterAutospacing="1"/>
      <w:jc w:val="left"/>
    </w:pPr>
    <w:rPr>
      <w:rFonts w:ascii="宋体" w:hAnsi="宋体"/>
      <w:kern w:val="0"/>
      <w:sz w:val="24"/>
    </w:rPr>
  </w:style>
  <w:style w:type="paragraph" w:styleId="56">
    <w:name w:val="List Continue 3"/>
    <w:basedOn w:val="1"/>
    <w:qFormat/>
    <w:uiPriority w:val="0"/>
    <w:pPr>
      <w:adjustRightInd w:val="0"/>
      <w:snapToGrid w:val="0"/>
      <w:spacing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line="360" w:lineRule="auto"/>
      <w:jc w:val="center"/>
    </w:pPr>
    <w:rPr>
      <w:rFonts w:ascii="Arial" w:hAnsi="Arial"/>
      <w:b/>
      <w:smallCaps/>
      <w:kern w:val="28"/>
      <w:sz w:val="36"/>
      <w:lang w:eastAsia="en-US"/>
    </w:rPr>
  </w:style>
  <w:style w:type="character" w:styleId="60">
    <w:name w:val="Strong"/>
    <w:qFormat/>
    <w:uiPriority w:val="0"/>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table" w:styleId="68">
    <w:name w:val="Table Grid"/>
    <w:basedOn w:val="6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9">
    <w:name w:val="TOC1"/>
    <w:basedOn w:val="1"/>
    <w:next w:val="1"/>
    <w:qFormat/>
    <w:uiPriority w:val="0"/>
    <w:pPr>
      <w:tabs>
        <w:tab w:val="left" w:pos="1260"/>
        <w:tab w:val="left" w:pos="1685"/>
        <w:tab w:val="right" w:leader="dot" w:pos="8400"/>
      </w:tabs>
      <w:spacing w:line="320" w:lineRule="exact"/>
      <w:ind w:firstLine="280" w:firstLineChars="100"/>
    </w:pPr>
  </w:style>
  <w:style w:type="character" w:customStyle="1" w:styleId="70">
    <w:name w:val="top-det1"/>
    <w:qFormat/>
    <w:uiPriority w:val="0"/>
    <w:rPr>
      <w:b/>
      <w:color w:val="000000"/>
    </w:rPr>
  </w:style>
  <w:style w:type="character" w:customStyle="1" w:styleId="71">
    <w:name w:val="Table Text Char Char Char Char"/>
    <w:link w:val="72"/>
    <w:qFormat/>
    <w:uiPriority w:val="0"/>
    <w:rPr>
      <w:rFonts w:ascii="Arial" w:hAnsi="Arial"/>
      <w:kern w:val="2"/>
      <w:sz w:val="18"/>
      <w:lang w:val="en-US" w:eastAsia="zh-CN" w:bidi="ar-SA"/>
    </w:rPr>
  </w:style>
  <w:style w:type="paragraph" w:customStyle="1" w:styleId="72">
    <w:name w:val="Table Text Char Char Char"/>
    <w:link w:val="71"/>
    <w:qFormat/>
    <w:uiPriority w:val="0"/>
    <w:pPr>
      <w:snapToGrid w:val="0"/>
      <w:spacing w:before="80" w:after="80"/>
    </w:pPr>
    <w:rPr>
      <w:rFonts w:ascii="Arial" w:hAnsi="Arial" w:eastAsia="宋体" w:cs="Times New Roman"/>
      <w:kern w:val="2"/>
      <w:sz w:val="18"/>
      <w:lang w:val="en-US" w:eastAsia="zh-CN" w:bidi="ar-SA"/>
    </w:rPr>
  </w:style>
  <w:style w:type="character" w:customStyle="1" w:styleId="73">
    <w:name w:val="1{858D7CFB-ED40-4347-BF05-701D383B685F}"/>
    <w:link w:val="74"/>
    <w:qFormat/>
    <w:uiPriority w:val="0"/>
    <w:rPr>
      <w:rFonts w:ascii="宋体" w:hAnsi="Courier New"/>
      <w:kern w:val="2"/>
      <w:sz w:val="21"/>
    </w:rPr>
  </w:style>
  <w:style w:type="paragraph" w:customStyle="1" w:styleId="74">
    <w:name w:val="1"/>
    <w:basedOn w:val="1"/>
    <w:next w:val="33"/>
    <w:link w:val="73"/>
    <w:qFormat/>
    <w:uiPriority w:val="0"/>
    <w:rPr>
      <w:rFonts w:ascii="宋体" w:hAnsi="Courier New"/>
      <w:sz w:val="21"/>
    </w:rPr>
  </w:style>
  <w:style w:type="character" w:customStyle="1" w:styleId="75">
    <w:name w:val="Char Char4"/>
    <w:qFormat/>
    <w:uiPriority w:val="0"/>
    <w:rPr>
      <w:rFonts w:eastAsia="宋体"/>
      <w:b/>
      <w:kern w:val="2"/>
      <w:sz w:val="21"/>
      <w:lang w:val="en-US" w:eastAsia="zh-CN"/>
    </w:rPr>
  </w:style>
  <w:style w:type="character" w:customStyle="1" w:styleId="76">
    <w:name w:val="Table Text Char"/>
    <w:link w:val="77"/>
    <w:qFormat/>
    <w:uiPriority w:val="0"/>
    <w:rPr>
      <w:rFonts w:ascii="Arial" w:hAnsi="Arial"/>
      <w:kern w:val="2"/>
      <w:sz w:val="18"/>
      <w:lang w:val="en-US" w:eastAsia="zh-CN" w:bidi="ar-SA"/>
    </w:rPr>
  </w:style>
  <w:style w:type="paragraph" w:customStyle="1" w:styleId="77">
    <w:name w:val="Table Text"/>
    <w:link w:val="76"/>
    <w:qFormat/>
    <w:uiPriority w:val="0"/>
    <w:pPr>
      <w:snapToGrid w:val="0"/>
      <w:spacing w:before="80" w:after="80"/>
    </w:pPr>
    <w:rPr>
      <w:rFonts w:ascii="Arial" w:hAnsi="Arial" w:eastAsia="宋体" w:cs="Times New Roman"/>
      <w:kern w:val="2"/>
      <w:sz w:val="18"/>
      <w:lang w:val="en-US" w:eastAsia="zh-CN" w:bidi="ar-SA"/>
    </w:rPr>
  </w:style>
  <w:style w:type="character" w:customStyle="1" w:styleId="78">
    <w:name w:val="Char Char6"/>
    <w:qFormat/>
    <w:uiPriority w:val="0"/>
    <w:rPr>
      <w:rFonts w:ascii="仿宋_GB2312" w:eastAsia="仿宋_GB2312"/>
      <w:kern w:val="2"/>
      <w:sz w:val="32"/>
    </w:rPr>
  </w:style>
  <w:style w:type="character" w:customStyle="1" w:styleId="79">
    <w:name w:val="v151"/>
    <w:qFormat/>
    <w:uiPriority w:val="0"/>
    <w:rPr>
      <w:sz w:val="18"/>
    </w:rPr>
  </w:style>
  <w:style w:type="character" w:customStyle="1" w:styleId="80">
    <w:name w:val="未命名11"/>
    <w:qFormat/>
    <w:uiPriority w:val="0"/>
    <w:rPr>
      <w:color w:val="77FFFF"/>
      <w:sz w:val="24"/>
    </w:rPr>
  </w:style>
  <w:style w:type="character" w:customStyle="1" w:styleId="81">
    <w:name w:val="正文缩进 Char"/>
    <w:link w:val="19"/>
    <w:qFormat/>
    <w:uiPriority w:val="0"/>
    <w:rPr>
      <w:kern w:val="2"/>
      <w:sz w:val="24"/>
    </w:rPr>
  </w:style>
  <w:style w:type="character" w:customStyle="1" w:styleId="82">
    <w:name w:val="样式 宋体"/>
    <w:qFormat/>
    <w:uiPriority w:val="0"/>
    <w:rPr>
      <w:rFonts w:ascii="宋体" w:hAnsi="宋体" w:eastAsia="宋体"/>
      <w:sz w:val="28"/>
    </w:rPr>
  </w:style>
  <w:style w:type="character" w:customStyle="1" w:styleId="83">
    <w:name w:val="批注文字 Char"/>
    <w:link w:val="15"/>
    <w:qFormat/>
    <w:uiPriority w:val="0"/>
    <w:rPr>
      <w:sz w:val="24"/>
    </w:rPr>
  </w:style>
  <w:style w:type="character" w:customStyle="1" w:styleId="84">
    <w:name w:val="Char Char"/>
    <w:qFormat/>
    <w:uiPriority w:val="0"/>
    <w:rPr>
      <w:rFonts w:ascii="宋体" w:hAnsi="宋体" w:eastAsia="宋体"/>
      <w:kern w:val="2"/>
      <w:sz w:val="24"/>
      <w:lang w:val="en-US" w:eastAsia="zh-CN" w:bidi="ar-SA"/>
    </w:rPr>
  </w:style>
  <w:style w:type="character" w:customStyle="1" w:styleId="85">
    <w:name w:val="批注主题 Char"/>
    <w:basedOn w:val="83"/>
    <w:link w:val="14"/>
    <w:qFormat/>
    <w:uiPriority w:val="0"/>
  </w:style>
  <w:style w:type="character" w:customStyle="1" w:styleId="86">
    <w:name w:val="页眉 Char"/>
    <w:link w:val="40"/>
    <w:qFormat/>
    <w:uiPriority w:val="0"/>
    <w:rPr>
      <w:kern w:val="2"/>
      <w:sz w:val="18"/>
    </w:rPr>
  </w:style>
  <w:style w:type="character" w:customStyle="1" w:styleId="87">
    <w:name w:val="正文 + 三号 Char"/>
    <w:qFormat/>
    <w:uiPriority w:val="0"/>
    <w:rPr>
      <w:rFonts w:eastAsia="宋体"/>
      <w:kern w:val="2"/>
      <w:sz w:val="21"/>
      <w:lang w:val="en-US" w:eastAsia="zh-CN"/>
    </w:rPr>
  </w:style>
  <w:style w:type="character" w:customStyle="1" w:styleId="88">
    <w:name w:val="正文文本缩进 Char"/>
    <w:link w:val="25"/>
    <w:qFormat/>
    <w:uiPriority w:val="0"/>
    <w:rPr>
      <w:kern w:val="2"/>
      <w:sz w:val="44"/>
    </w:rPr>
  </w:style>
  <w:style w:type="character" w:customStyle="1" w:styleId="89">
    <w:name w:val="日期 Char"/>
    <w:link w:val="35"/>
    <w:qFormat/>
    <w:uiPriority w:val="0"/>
    <w:rPr>
      <w:kern w:val="2"/>
      <w:sz w:val="28"/>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Char Char11"/>
    <w:qFormat/>
    <w:uiPriority w:val="0"/>
    <w:rPr>
      <w:rFonts w:ascii="宋体"/>
      <w:kern w:val="2"/>
      <w:sz w:val="28"/>
    </w:rPr>
  </w:style>
  <w:style w:type="character" w:customStyle="1" w:styleId="92">
    <w:name w:val="content-white1"/>
    <w:qFormat/>
    <w:uiPriority w:val="0"/>
    <w:rPr>
      <w:rFonts w:ascii="_x000B__x000C_" w:hAnsi="_x000B__x000C_"/>
      <w:color w:val="auto"/>
      <w:sz w:val="18"/>
      <w:u w:val="none"/>
    </w:rPr>
  </w:style>
  <w:style w:type="character" w:customStyle="1" w:styleId="93">
    <w:name w:val="脚注文本 Char"/>
    <w:link w:val="45"/>
    <w:qFormat/>
    <w:uiPriority w:val="0"/>
    <w:rPr>
      <w:kern w:val="2"/>
      <w:sz w:val="18"/>
    </w:rPr>
  </w:style>
  <w:style w:type="character" w:customStyle="1" w:styleId="94">
    <w:name w:val="Char Char3"/>
    <w:qFormat/>
    <w:uiPriority w:val="0"/>
    <w:rPr>
      <w:rFonts w:eastAsia="宋体"/>
      <w:kern w:val="2"/>
      <w:sz w:val="18"/>
      <w:lang w:val="en-US" w:eastAsia="zh-CN"/>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title_emph1"/>
    <w:qFormat/>
    <w:uiPriority w:val="0"/>
    <w:rPr>
      <w:rFonts w:hint="default" w:ascii="Arial" w:hAnsi="Arial"/>
      <w:b/>
      <w:sz w:val="20"/>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标题 2 Char"/>
    <w:link w:val="5"/>
    <w:qFormat/>
    <w:uiPriority w:val="9"/>
    <w:rPr>
      <w:rFonts w:ascii="Arial" w:hAnsi="Arial" w:eastAsia="黑体"/>
      <w:b/>
      <w:kern w:val="2"/>
      <w:sz w:val="32"/>
    </w:rPr>
  </w:style>
  <w:style w:type="character" w:customStyle="1" w:styleId="99">
    <w:name w:val="副标题 Char"/>
    <w:link w:val="44"/>
    <w:qFormat/>
    <w:uiPriority w:val="11"/>
    <w:rPr>
      <w:rFonts w:ascii="Cambria" w:hAnsi="Cambria"/>
      <w:b/>
      <w:bCs/>
      <w:kern w:val="28"/>
      <w:sz w:val="32"/>
      <w:szCs w:val="32"/>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Char Char2"/>
    <w:qFormat/>
    <w:uiPriority w:val="0"/>
    <w:rPr>
      <w:rFonts w:eastAsia="宋体"/>
      <w:kern w:val="2"/>
      <w:sz w:val="18"/>
      <w:lang w:val="en-US" w:eastAsia="zh-CN"/>
    </w:rPr>
  </w:style>
  <w:style w:type="character" w:customStyle="1" w:styleId="102">
    <w:name w:val="标题 3 Char"/>
    <w:link w:val="6"/>
    <w:qFormat/>
    <w:uiPriority w:val="0"/>
    <w:rPr>
      <w:rFonts w:eastAsia="宋体"/>
      <w:b/>
      <w:kern w:val="2"/>
      <w:sz w:val="32"/>
      <w:lang w:val="en-US" w:eastAsia="zh-CN"/>
    </w:rPr>
  </w:style>
  <w:style w:type="character" w:customStyle="1" w:styleId="103">
    <w:name w:val="副标题 Char1"/>
    <w:qFormat/>
    <w:uiPriority w:val="0"/>
    <w:rPr>
      <w:rFonts w:ascii="Calibri Light" w:hAnsi="Calibri Light" w:cs="Times New Roman"/>
      <w:b/>
      <w:bCs/>
      <w:kern w:val="28"/>
      <w:sz w:val="32"/>
      <w:szCs w:val="32"/>
    </w:rPr>
  </w:style>
  <w:style w:type="character" w:customStyle="1" w:styleId="104">
    <w:name w:val="文字 Char"/>
    <w:link w:val="105"/>
    <w:qFormat/>
    <w:uiPriority w:val="0"/>
    <w:rPr>
      <w:rFonts w:ascii="宋体"/>
      <w:kern w:val="2"/>
      <w:sz w:val="28"/>
    </w:rPr>
  </w:style>
  <w:style w:type="paragraph" w:customStyle="1" w:styleId="105">
    <w:name w:val="文字"/>
    <w:basedOn w:val="1"/>
    <w:link w:val="104"/>
    <w:qFormat/>
    <w:uiPriority w:val="0"/>
    <w:pPr>
      <w:tabs>
        <w:tab w:val="left" w:pos="8520"/>
      </w:tabs>
      <w:spacing w:line="312" w:lineRule="auto"/>
      <w:ind w:right="-210" w:firstLine="556"/>
    </w:pPr>
    <w:rPr>
      <w:rFonts w:ascii="宋体"/>
    </w:rPr>
  </w:style>
  <w:style w:type="character" w:customStyle="1" w:styleId="106">
    <w:name w:val="Char Char7"/>
    <w:qFormat/>
    <w:uiPriority w:val="0"/>
    <w:rPr>
      <w:rFonts w:ascii="宋体" w:hAnsi="宋体" w:eastAsia="宋体"/>
      <w:kern w:val="2"/>
      <w:sz w:val="28"/>
    </w:rPr>
  </w:style>
  <w:style w:type="character" w:customStyle="1" w:styleId="107">
    <w:name w:val="font1"/>
    <w:qFormat/>
    <w:uiPriority w:val="0"/>
    <w:rPr>
      <w:color w:val="000000"/>
      <w:sz w:val="18"/>
    </w:rPr>
  </w:style>
  <w:style w:type="character" w:customStyle="1" w:styleId="108">
    <w:name w:val="标书正文:  0.74 厘米 Char1"/>
    <w:qFormat/>
    <w:uiPriority w:val="0"/>
    <w:rPr>
      <w:rFonts w:eastAsia="宋体"/>
      <w:kern w:val="2"/>
      <w:sz w:val="24"/>
      <w:lang w:val="en-US" w:eastAsia="zh-CN"/>
    </w:rPr>
  </w:style>
  <w:style w:type="character" w:customStyle="1" w:styleId="109">
    <w:name w:val="正文文本缩进 2 Char"/>
    <w:link w:val="36"/>
    <w:qFormat/>
    <w:uiPriority w:val="0"/>
    <w:rPr>
      <w:kern w:val="2"/>
      <w:sz w:val="28"/>
    </w:rPr>
  </w:style>
  <w:style w:type="character" w:customStyle="1" w:styleId="110">
    <w:name w:val="正文首行缩进 2 Char"/>
    <w:basedOn w:val="88"/>
    <w:link w:val="39"/>
    <w:qFormat/>
    <w:uiPriority w:val="0"/>
  </w:style>
  <w:style w:type="character" w:customStyle="1" w:styleId="111">
    <w:name w:val="H2 Char"/>
    <w:qFormat/>
    <w:uiPriority w:val="0"/>
    <w:rPr>
      <w:rFonts w:ascii="Arial" w:hAnsi="Arial" w:eastAsia="宋体"/>
      <w:kern w:val="2"/>
      <w:sz w:val="28"/>
      <w:lang w:val="en-US" w:eastAsia="zh-CN"/>
    </w:rPr>
  </w:style>
  <w:style w:type="character" w:customStyle="1" w:styleId="112">
    <w:name w:val="crowed11"/>
    <w:qFormat/>
    <w:uiPriority w:val="0"/>
    <w:rPr>
      <w:rFonts w:hint="default" w:ascii="_x000B__x000C_" w:hAnsi="_x000B__x000C_"/>
      <w:sz w:val="24"/>
    </w:rPr>
  </w:style>
  <w:style w:type="paragraph" w:customStyle="1" w:styleId="11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14">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15">
    <w:name w:val="表头文本"/>
    <w:qFormat/>
    <w:uiPriority w:val="0"/>
    <w:pPr>
      <w:jc w:val="center"/>
    </w:pPr>
    <w:rPr>
      <w:rFonts w:ascii="Arial" w:hAnsi="Arial" w:eastAsia="宋体" w:cs="Times New Roman"/>
      <w:b/>
      <w:sz w:val="21"/>
      <w:lang w:val="en-US" w:eastAsia="zh-CN" w:bidi="ar-SA"/>
    </w:rPr>
  </w:style>
  <w:style w:type="paragraph" w:customStyle="1" w:styleId="116">
    <w:name w:val="Char Char14 Char Char"/>
    <w:basedOn w:val="1"/>
    <w:qFormat/>
    <w:uiPriority w:val="0"/>
    <w:rPr>
      <w:sz w:val="21"/>
      <w:szCs w:val="24"/>
    </w:rPr>
  </w:style>
  <w:style w:type="paragraph" w:customStyle="1" w:styleId="117">
    <w:name w:val="xl23"/>
    <w:basedOn w:val="1"/>
    <w:qFormat/>
    <w:uiPriority w:val="0"/>
    <w:pPr>
      <w:widowControl/>
      <w:spacing w:beforeAutospacing="1" w:afterAutospacing="1" w:line="360" w:lineRule="auto"/>
      <w:textAlignment w:val="top"/>
    </w:pPr>
    <w:rPr>
      <w:kern w:val="0"/>
      <w:sz w:val="24"/>
    </w:rPr>
  </w:style>
  <w:style w:type="paragraph" w:customStyle="1" w:styleId="118">
    <w:name w:val="Char"/>
    <w:basedOn w:val="1"/>
    <w:qFormat/>
    <w:uiPriority w:val="0"/>
    <w:pPr>
      <w:spacing w:line="240" w:lineRule="atLeast"/>
      <w:ind w:left="420" w:firstLine="420"/>
    </w:pPr>
    <w:rPr>
      <w:kern w:val="0"/>
      <w:sz w:val="21"/>
    </w:rPr>
  </w:style>
  <w:style w:type="paragraph" w:customStyle="1" w:styleId="11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0">
    <w:name w:val="文本框样式1"/>
    <w:basedOn w:val="1"/>
    <w:qFormat/>
    <w:uiPriority w:val="0"/>
    <w:pPr>
      <w:adjustRightInd w:val="0"/>
      <w:snapToGrid w:val="0"/>
      <w:spacing w:line="180" w:lineRule="exact"/>
      <w:jc w:val="center"/>
    </w:pPr>
    <w:rPr>
      <w:sz w:val="21"/>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编号正文"/>
    <w:basedOn w:val="119"/>
    <w:qFormat/>
    <w:uiPriority w:val="0"/>
    <w:pPr>
      <w:snapToGrid/>
      <w:spacing w:line="360" w:lineRule="auto"/>
      <w:ind w:left="1407" w:hanging="1047"/>
      <w:jc w:val="left"/>
    </w:pPr>
    <w:rPr>
      <w:rFonts w:eastAsia="仿宋_GB2312"/>
    </w:rPr>
  </w:style>
  <w:style w:type="paragraph" w:customStyle="1" w:styleId="123">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24">
    <w:name w:val="正文表格"/>
    <w:basedOn w:val="1"/>
    <w:qFormat/>
    <w:uiPriority w:val="0"/>
    <w:pPr>
      <w:adjustRightInd w:val="0"/>
    </w:pPr>
    <w:rPr>
      <w:sz w:val="24"/>
    </w:rPr>
  </w:style>
  <w:style w:type="paragraph" w:customStyle="1" w:styleId="12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6">
    <w:name w:val="Item List"/>
    <w:qFormat/>
    <w:uiPriority w:val="0"/>
    <w:pPr>
      <w:numPr>
        <w:ilvl w:val="0"/>
        <w:numId w:val="4"/>
      </w:numPr>
      <w:spacing w:line="300" w:lineRule="auto"/>
      <w:jc w:val="both"/>
    </w:pPr>
    <w:rPr>
      <w:rFonts w:ascii="Arial" w:hAnsi="Arial" w:eastAsia="宋体" w:cs="Times New Roman"/>
      <w:sz w:val="21"/>
      <w:lang w:val="en-US" w:eastAsia="zh-CN" w:bidi="ar-SA"/>
    </w:r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29">
    <w:name w:val="文本1"/>
    <w:basedOn w:val="1"/>
    <w:qFormat/>
    <w:uiPriority w:val="0"/>
    <w:pPr>
      <w:adjustRightInd w:val="0"/>
      <w:spacing w:line="312" w:lineRule="atLeast"/>
      <w:jc w:val="center"/>
      <w:textAlignment w:val="baseline"/>
    </w:pPr>
    <w:rPr>
      <w:kern w:val="0"/>
      <w:sz w:val="18"/>
    </w:rPr>
  </w:style>
  <w:style w:type="paragraph" w:customStyle="1" w:styleId="130">
    <w:name w:val="Char1"/>
    <w:basedOn w:val="1"/>
    <w:qFormat/>
    <w:uiPriority w:val="0"/>
    <w:rPr>
      <w:sz w:val="21"/>
    </w:rPr>
  </w:style>
  <w:style w:type="paragraph" w:customStyle="1" w:styleId="131">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32">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13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4">
    <w:name w:val="样式1"/>
    <w:basedOn w:val="7"/>
    <w:qFormat/>
    <w:uiPriority w:val="0"/>
    <w:pPr>
      <w:tabs>
        <w:tab w:val="left" w:pos="720"/>
      </w:tabs>
      <w:spacing w:line="560" w:lineRule="atLeast"/>
      <w:ind w:left="420" w:hanging="420"/>
    </w:pPr>
  </w:style>
  <w:style w:type="paragraph" w:customStyle="1" w:styleId="135">
    <w:name w:val="style1"/>
    <w:basedOn w:val="1"/>
    <w:qFormat/>
    <w:uiPriority w:val="0"/>
    <w:pPr>
      <w:widowControl/>
      <w:spacing w:beforeAutospacing="1" w:afterAutospacing="1"/>
      <w:jc w:val="left"/>
    </w:pPr>
    <w:rPr>
      <w:rFonts w:ascii="宋体" w:hAnsi="宋体"/>
      <w:kern w:val="0"/>
      <w:sz w:val="21"/>
    </w:rPr>
  </w:style>
  <w:style w:type="paragraph" w:customStyle="1" w:styleId="13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7">
    <w:name w:val="标题3——2"/>
    <w:basedOn w:val="6"/>
    <w:next w:val="2"/>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8">
    <w:name w:val="标题无"/>
    <w:basedOn w:val="1"/>
    <w:qFormat/>
    <w:uiPriority w:val="0"/>
    <w:pPr>
      <w:spacing w:line="360" w:lineRule="auto"/>
    </w:pPr>
    <w:rPr>
      <w:sz w:val="24"/>
    </w:rPr>
  </w:style>
  <w:style w:type="paragraph" w:customStyle="1" w:styleId="13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0">
    <w:name w:val="Char2"/>
    <w:basedOn w:val="1"/>
    <w:qFormat/>
    <w:uiPriority w:val="0"/>
    <w:pPr>
      <w:spacing w:line="240" w:lineRule="atLeast"/>
      <w:ind w:left="420" w:firstLine="420"/>
    </w:pPr>
    <w:rPr>
      <w:kern w:val="0"/>
      <w:sz w:val="21"/>
    </w:rPr>
  </w:style>
  <w:style w:type="paragraph" w:customStyle="1" w:styleId="141">
    <w:name w:val="样式2"/>
    <w:basedOn w:val="7"/>
    <w:qFormat/>
    <w:uiPriority w:val="0"/>
    <w:pPr>
      <w:numPr>
        <w:ilvl w:val="0"/>
        <w:numId w:val="7"/>
      </w:numPr>
      <w:spacing w:line="400" w:lineRule="exact"/>
      <w:jc w:val="center"/>
      <w:outlineLvl w:val="0"/>
    </w:pPr>
    <w:rPr>
      <w:b w:val="0"/>
      <w:sz w:val="44"/>
    </w:rPr>
  </w:style>
  <w:style w:type="paragraph" w:customStyle="1" w:styleId="14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4">
    <w:name w:val="af"/>
    <w:basedOn w:val="1"/>
    <w:qFormat/>
    <w:uiPriority w:val="0"/>
    <w:pPr>
      <w:widowControl/>
      <w:spacing w:line="300" w:lineRule="atLeast"/>
      <w:jc w:val="left"/>
    </w:pPr>
    <w:rPr>
      <w:rFonts w:ascii="宋体" w:hAnsi="宋体"/>
      <w:kern w:val="0"/>
      <w:sz w:val="18"/>
    </w:rPr>
  </w:style>
  <w:style w:type="paragraph" w:customStyle="1" w:styleId="145">
    <w:name w:val="Char1 Char Char Char"/>
    <w:basedOn w:val="1"/>
    <w:qFormat/>
    <w:uiPriority w:val="0"/>
    <w:rPr>
      <w:rFonts w:ascii="Tahoma" w:hAnsi="Tahoma"/>
      <w:sz w:val="24"/>
    </w:rPr>
  </w:style>
  <w:style w:type="paragraph" w:customStyle="1" w:styleId="146">
    <w:name w:val="图例"/>
    <w:basedOn w:val="1"/>
    <w:qFormat/>
    <w:uiPriority w:val="0"/>
    <w:pPr>
      <w:spacing w:line="360" w:lineRule="auto"/>
      <w:jc w:val="center"/>
    </w:pPr>
    <w:rPr>
      <w:rFonts w:eastAsia="仿宋_GB2312"/>
      <w:b/>
      <w:sz w:val="24"/>
    </w:r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0">
    <w:name w:val="内容标题"/>
    <w:basedOn w:val="21"/>
    <w:qFormat/>
    <w:uiPriority w:val="0"/>
    <w:rPr>
      <w:rFonts w:ascii="Tahoma" w:hAnsi="Tahoma"/>
      <w:sz w:val="24"/>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52">
    <w:name w:val="样式3"/>
    <w:basedOn w:val="4"/>
    <w:next w:val="4"/>
    <w:qFormat/>
    <w:uiPriority w:val="0"/>
    <w:pPr>
      <w:keepLines/>
      <w:adjustRightInd w:val="0"/>
      <w:spacing w:line="576" w:lineRule="auto"/>
    </w:pPr>
    <w:rPr>
      <w:rFonts w:ascii="Times New Roman" w:eastAsia="黑体"/>
      <w:b/>
      <w:kern w:val="44"/>
      <w:sz w:val="44"/>
    </w:rPr>
  </w:style>
  <w:style w:type="paragraph" w:customStyle="1" w:styleId="15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4">
    <w:name w:val="正文4"/>
    <w:basedOn w:val="1"/>
    <w:qFormat/>
    <w:uiPriority w:val="0"/>
    <w:pPr>
      <w:tabs>
        <w:tab w:val="left" w:pos="1275"/>
      </w:tabs>
      <w:spacing w:line="360" w:lineRule="auto"/>
      <w:ind w:left="820" w:leftChars="400" w:hanging="705"/>
    </w:pPr>
    <w:rPr>
      <w:sz w:val="24"/>
    </w:rPr>
  </w:style>
  <w:style w:type="paragraph" w:customStyle="1" w:styleId="155">
    <w:name w:val="样式 正文文本缩进 + 左  0 字符"/>
    <w:basedOn w:val="1"/>
    <w:qFormat/>
    <w:uiPriority w:val="0"/>
    <w:pPr>
      <w:spacing w:line="360" w:lineRule="auto"/>
      <w:ind w:firstLine="250" w:firstLineChars="250"/>
    </w:pPr>
    <w:rPr>
      <w:rFonts w:cs="宋体"/>
      <w:sz w:val="24"/>
    </w:rPr>
  </w:style>
  <w:style w:type="paragraph" w:customStyle="1" w:styleId="15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8">
    <w:name w:val="IN Feature"/>
    <w:next w:val="15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9">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60">
    <w:name w:val="默认段落字体 Para Char Char Char Char Char Char Char Char Char1 Char Char Char Char"/>
    <w:basedOn w:val="1"/>
    <w:qFormat/>
    <w:uiPriority w:val="0"/>
    <w:rPr>
      <w:rFonts w:ascii="Tahoma" w:hAnsi="Tahoma"/>
      <w:sz w:val="24"/>
    </w:rPr>
  </w:style>
  <w:style w:type="paragraph" w:customStyle="1" w:styleId="161">
    <w:name w:val="图片文字"/>
    <w:basedOn w:val="1"/>
    <w:qFormat/>
    <w:uiPriority w:val="0"/>
    <w:pPr>
      <w:spacing w:line="240" w:lineRule="atLeast"/>
      <w:jc w:val="center"/>
    </w:pPr>
    <w:rPr>
      <w:sz w:val="21"/>
    </w:rPr>
  </w:style>
  <w:style w:type="paragraph" w:customStyle="1" w:styleId="162">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63">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64">
    <w:name w:val="列出段落1"/>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165">
    <w:name w:val="Char Char Char"/>
    <w:basedOn w:val="1"/>
    <w:qFormat/>
    <w:uiPriority w:val="0"/>
    <w:rPr>
      <w:rFonts w:ascii="Tahoma" w:hAnsi="Tahoma"/>
      <w:sz w:val="24"/>
    </w:rPr>
  </w:style>
  <w:style w:type="paragraph" w:customStyle="1" w:styleId="166">
    <w:name w:val="Char2 Char Char Char Char Char Char"/>
    <w:basedOn w:val="1"/>
    <w:qFormat/>
    <w:uiPriority w:val="0"/>
    <w:rPr>
      <w:rFonts w:ascii="仿宋_GB2312"/>
      <w:b/>
      <w:sz w:val="30"/>
    </w:rPr>
  </w:style>
  <w:style w:type="paragraph" w:customStyle="1" w:styleId="16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68">
    <w:name w:val="正文文本 21"/>
    <w:basedOn w:val="1"/>
    <w:qFormat/>
    <w:uiPriority w:val="0"/>
    <w:pPr>
      <w:adjustRightInd w:val="0"/>
      <w:spacing w:line="360" w:lineRule="auto"/>
      <w:ind w:firstLine="480"/>
      <w:textAlignment w:val="baseline"/>
    </w:pPr>
    <w:rPr>
      <w:sz w:val="24"/>
    </w:rPr>
  </w:style>
  <w:style w:type="paragraph" w:customStyle="1" w:styleId="16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0">
    <w:name w:val="没有缩进（为图形使用）"/>
    <w:basedOn w:val="1"/>
    <w:qFormat/>
    <w:uiPriority w:val="0"/>
    <w:pPr>
      <w:spacing w:line="360" w:lineRule="auto"/>
    </w:pPr>
    <w:rPr>
      <w:sz w:val="24"/>
    </w:rPr>
  </w:style>
  <w:style w:type="paragraph" w:customStyle="1" w:styleId="17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3">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7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Title - Revision"/>
    <w:basedOn w:val="58"/>
    <w:qFormat/>
    <w:uiPriority w:val="0"/>
  </w:style>
  <w:style w:type="paragraph" w:customStyle="1" w:styleId="17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79">
    <w:name w:val="样式 行距: 1.5 倍行距1"/>
    <w:basedOn w:val="1"/>
    <w:qFormat/>
    <w:uiPriority w:val="0"/>
    <w:pPr>
      <w:snapToGrid w:val="0"/>
    </w:pPr>
    <w:rPr>
      <w:sz w:val="21"/>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3">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84">
    <w:name w:val="Char Char1"/>
    <w:basedOn w:val="1"/>
    <w:qFormat/>
    <w:uiPriority w:val="0"/>
    <w:pPr>
      <w:widowControl/>
      <w:spacing w:line="240" w:lineRule="exact"/>
      <w:jc w:val="left"/>
    </w:pPr>
    <w:rPr>
      <w:rFonts w:ascii="Verdana" w:hAnsi="Verdana"/>
      <w:kern w:val="0"/>
      <w:sz w:val="20"/>
      <w:lang w:eastAsia="en-US"/>
    </w:rPr>
  </w:style>
  <w:style w:type="paragraph" w:customStyle="1" w:styleId="18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6">
    <w:name w:val="Char Char Char Char Char Char Char"/>
    <w:basedOn w:val="21"/>
    <w:qFormat/>
    <w:uiPriority w:val="0"/>
    <w:rPr>
      <w:rFonts w:ascii="宋体" w:hAnsi="Tahoma"/>
    </w:rPr>
  </w:style>
  <w:style w:type="paragraph" w:customStyle="1" w:styleId="18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8">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89">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193">
    <w:name w:val="正文1"/>
    <w:basedOn w:val="1"/>
    <w:qFormat/>
    <w:uiPriority w:val="0"/>
    <w:pPr>
      <w:spacing w:line="300" w:lineRule="auto"/>
      <w:ind w:firstLine="200" w:firstLineChars="200"/>
    </w:pPr>
    <w:rPr>
      <w:sz w:val="24"/>
    </w:rPr>
  </w:style>
  <w:style w:type="paragraph" w:customStyle="1" w:styleId="194">
    <w:name w:val="标准正文"/>
    <w:basedOn w:val="25"/>
    <w:qFormat/>
    <w:uiPriority w:val="0"/>
    <w:pPr>
      <w:spacing w:line="360" w:lineRule="auto"/>
      <w:ind w:left="0" w:firstLine="482"/>
    </w:pPr>
    <w:rPr>
      <w:rFonts w:ascii="Arial" w:hAnsi="Arial"/>
      <w:sz w:val="24"/>
    </w:rPr>
  </w:style>
  <w:style w:type="paragraph" w:customStyle="1" w:styleId="195">
    <w:name w:val="附录3"/>
    <w:basedOn w:val="1"/>
    <w:next w:val="1"/>
    <w:qFormat/>
    <w:uiPriority w:val="0"/>
    <w:pPr>
      <w:tabs>
        <w:tab w:val="left" w:pos="851"/>
      </w:tabs>
      <w:ind w:left="425" w:hanging="425"/>
      <w:outlineLvl w:val="2"/>
    </w:pPr>
    <w:rPr>
      <w:rFonts w:eastAsia="黑体"/>
      <w:b/>
      <w:sz w:val="32"/>
    </w:rPr>
  </w:style>
  <w:style w:type="paragraph" w:customStyle="1" w:styleId="196">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19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8">
    <w:name w:val="一级条标题"/>
    <w:basedOn w:val="128"/>
    <w:next w:val="199"/>
    <w:qFormat/>
    <w:uiPriority w:val="0"/>
    <w:pPr>
      <w:numPr>
        <w:numId w:val="0"/>
      </w:numPr>
      <w:spacing w:beforeLines="0" w:afterLines="0"/>
      <w:ind w:left="525"/>
      <w:outlineLvl w:val="2"/>
    </w:pPr>
    <w:rPr>
      <w:sz w:val="21"/>
    </w:rPr>
  </w:style>
  <w:style w:type="paragraph" w:customStyle="1" w:styleId="19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 字元 字元 字元 Char Char Char Char"/>
    <w:basedOn w:val="1"/>
    <w:qFormat/>
    <w:uiPriority w:val="0"/>
    <w:pPr>
      <w:adjustRightInd w:val="0"/>
      <w:spacing w:line="360" w:lineRule="auto"/>
    </w:pPr>
    <w:rPr>
      <w:kern w:val="0"/>
      <w:sz w:val="24"/>
    </w:rPr>
  </w:style>
  <w:style w:type="paragraph" w:customStyle="1" w:styleId="201">
    <w:name w:val="表文字"/>
    <w:qFormat/>
    <w:uiPriority w:val="0"/>
    <w:rPr>
      <w:rFonts w:ascii="宋体" w:hAnsi="Times New Roman" w:eastAsia="宋体" w:cs="Times New Roman"/>
      <w:kern w:val="2"/>
      <w:lang w:val="en-US" w:eastAsia="zh-CN" w:bidi="ar-SA"/>
    </w:rPr>
  </w:style>
  <w:style w:type="paragraph" w:customStyle="1" w:styleId="202">
    <w:name w:val="摘要"/>
    <w:basedOn w:val="1"/>
    <w:next w:val="5"/>
    <w:qFormat/>
    <w:uiPriority w:val="0"/>
    <w:pPr>
      <w:spacing w:line="360" w:lineRule="auto"/>
    </w:pPr>
    <w:rPr>
      <w:rFonts w:eastAsia="黑体"/>
      <w:sz w:val="20"/>
    </w:rPr>
  </w:style>
  <w:style w:type="paragraph" w:customStyle="1" w:styleId="203">
    <w:name w:val="Table Contents"/>
    <w:basedOn w:val="3"/>
    <w:qFormat/>
    <w:uiPriority w:val="0"/>
    <w:pPr>
      <w:suppressAutoHyphens/>
      <w:jc w:val="left"/>
    </w:pPr>
    <w:rPr>
      <w:rFonts w:ascii="Times New Roman" w:eastAsia="Times New Roman"/>
      <w:kern w:val="0"/>
      <w:sz w:val="24"/>
    </w:rPr>
  </w:style>
  <w:style w:type="paragraph" w:customStyle="1" w:styleId="204">
    <w:name w:val="首行缩进 1"/>
    <w:basedOn w:val="1"/>
    <w:qFormat/>
    <w:uiPriority w:val="0"/>
    <w:pPr>
      <w:spacing w:line="360" w:lineRule="auto"/>
      <w:ind w:firstLine="200" w:firstLineChars="200"/>
    </w:pPr>
    <w:rPr>
      <w:sz w:val="24"/>
    </w:rPr>
  </w:style>
  <w:style w:type="paragraph" w:customStyle="1" w:styleId="205">
    <w:name w:val="正文（首行不缩进）"/>
    <w:basedOn w:val="1"/>
    <w:qFormat/>
    <w:uiPriority w:val="0"/>
    <w:pPr>
      <w:autoSpaceDE w:val="0"/>
      <w:autoSpaceDN w:val="0"/>
      <w:adjustRightInd w:val="0"/>
      <w:spacing w:line="360" w:lineRule="auto"/>
      <w:jc w:val="left"/>
    </w:pPr>
    <w:rPr>
      <w:kern w:val="0"/>
      <w:sz w:val="21"/>
    </w:rPr>
  </w:style>
  <w:style w:type="paragraph" w:customStyle="1" w:styleId="206">
    <w:name w:val="样式1xz"/>
    <w:basedOn w:val="1"/>
    <w:qFormat/>
    <w:uiPriority w:val="0"/>
    <w:pPr>
      <w:tabs>
        <w:tab w:val="left" w:pos="1050"/>
        <w:tab w:val="right" w:leader="dot" w:pos="8296"/>
      </w:tabs>
    </w:pPr>
    <w:rPr>
      <w:caps/>
      <w:spacing w:val="20"/>
      <w:sz w:val="24"/>
    </w:rPr>
  </w:style>
  <w:style w:type="paragraph" w:customStyle="1" w:styleId="207">
    <w:name w:val="二级列表"/>
    <w:basedOn w:val="208"/>
    <w:next w:val="208"/>
    <w:qFormat/>
    <w:uiPriority w:val="0"/>
    <w:pPr>
      <w:tabs>
        <w:tab w:val="left" w:pos="2120"/>
      </w:tabs>
      <w:ind w:firstLine="0" w:firstLineChars="0"/>
    </w:pPr>
    <w:rPr>
      <w:b/>
    </w:rPr>
  </w:style>
  <w:style w:type="paragraph" w:customStyle="1" w:styleId="208">
    <w:name w:val="段落正文"/>
    <w:basedOn w:val="1"/>
    <w:qFormat/>
    <w:uiPriority w:val="0"/>
    <w:pPr>
      <w:spacing w:beforeLines="50" w:line="360" w:lineRule="auto"/>
      <w:ind w:firstLine="200" w:firstLineChars="200"/>
    </w:pPr>
    <w:rPr>
      <w:spacing w:val="2"/>
      <w:sz w:val="24"/>
    </w:rPr>
  </w:style>
  <w:style w:type="paragraph" w:customStyle="1" w:styleId="209">
    <w:name w:val="正文字缩2字"/>
    <w:basedOn w:val="1"/>
    <w:qFormat/>
    <w:uiPriority w:val="0"/>
    <w:pPr>
      <w:spacing w:line="360" w:lineRule="auto"/>
      <w:ind w:left="200" w:leftChars="200" w:firstLine="200" w:firstLineChars="200"/>
    </w:pPr>
    <w:rPr>
      <w:sz w:val="24"/>
    </w:rPr>
  </w:style>
  <w:style w:type="paragraph" w:customStyle="1" w:styleId="210">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21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12">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3">
    <w:name w:val="表格内文字"/>
    <w:basedOn w:val="33"/>
    <w:qFormat/>
    <w:uiPriority w:val="0"/>
    <w:pPr>
      <w:adjustRightInd w:val="0"/>
    </w:pPr>
    <w:rPr>
      <w:color w:val="000000"/>
      <w:lang w:val="en-GB"/>
    </w:rPr>
  </w:style>
  <w:style w:type="paragraph" w:customStyle="1" w:styleId="214">
    <w:name w:val="Style Heading 3h3Heading 3 - oldLevel 3 HeadH3level_3PIM 3se..."/>
    <w:basedOn w:val="6"/>
    <w:qFormat/>
    <w:uiPriority w:val="0"/>
    <w:pPr>
      <w:tabs>
        <w:tab w:val="left" w:pos="709"/>
        <w:tab w:val="left" w:pos="1620"/>
      </w:tabs>
      <w:ind w:left="1620" w:hanging="360"/>
    </w:p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7">
    <w:name w:val="样式 标题 1章标题Heading 0Section HeadPIM 1H1h11st levell11H1..."/>
    <w:basedOn w:val="4"/>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218">
    <w:name w:val="样式4"/>
    <w:basedOn w:val="7"/>
    <w:qFormat/>
    <w:uiPriority w:val="0"/>
    <w:pPr>
      <w:adjustRightInd w:val="0"/>
      <w:snapToGrid w:val="0"/>
    </w:pPr>
  </w:style>
  <w:style w:type="paragraph" w:customStyle="1" w:styleId="219">
    <w:name w:val="Char Char Char Char Char Char Char1"/>
    <w:basedOn w:val="1"/>
    <w:qFormat/>
    <w:uiPriority w:val="0"/>
    <w:rPr>
      <w:rFonts w:ascii="Tahoma" w:hAnsi="Tahoma"/>
      <w:sz w:val="24"/>
    </w:rPr>
  </w:style>
  <w:style w:type="paragraph" w:customStyle="1" w:styleId="220">
    <w:name w:val="简单回函地址"/>
    <w:basedOn w:val="1"/>
    <w:qFormat/>
    <w:uiPriority w:val="0"/>
    <w:pPr>
      <w:adjustRightInd w:val="0"/>
      <w:snapToGrid w:val="0"/>
      <w:spacing w:line="360" w:lineRule="auto"/>
    </w:pPr>
    <w:rPr>
      <w:sz w:val="24"/>
    </w:rPr>
  </w:style>
  <w:style w:type="paragraph" w:customStyle="1" w:styleId="22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_Style 219"/>
    <w:qFormat/>
    <w:uiPriority w:val="0"/>
    <w:rPr>
      <w:rFonts w:ascii="Times New Roman" w:hAnsi="Times New Roman" w:eastAsia="宋体" w:cs="Times New Roman"/>
      <w:kern w:val="2"/>
      <w:sz w:val="21"/>
      <w:lang w:val="en-US" w:eastAsia="zh-CN" w:bidi="ar-SA"/>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样式 首行缩进:  0.74 厘米"/>
    <w:basedOn w:val="1"/>
    <w:qFormat/>
    <w:uiPriority w:val="0"/>
    <w:pPr>
      <w:spacing w:line="360" w:lineRule="auto"/>
      <w:ind w:firstLine="420"/>
    </w:pPr>
    <w:rPr>
      <w:sz w:val="24"/>
    </w:rPr>
  </w:style>
  <w:style w:type="paragraph" w:customStyle="1" w:styleId="225">
    <w:name w:val="表头样式"/>
    <w:basedOn w:val="1"/>
    <w:qFormat/>
    <w:uiPriority w:val="0"/>
    <w:pPr>
      <w:autoSpaceDE w:val="0"/>
      <w:autoSpaceDN w:val="0"/>
      <w:adjustRightInd w:val="0"/>
      <w:spacing w:line="360" w:lineRule="auto"/>
      <w:jc w:val="left"/>
    </w:pPr>
    <w:rPr>
      <w:b/>
      <w:kern w:val="0"/>
      <w:sz w:val="21"/>
    </w:rPr>
  </w:style>
  <w:style w:type="paragraph" w:customStyle="1" w:styleId="226">
    <w:name w:val="可研正文"/>
    <w:basedOn w:val="3"/>
    <w:qFormat/>
    <w:uiPriority w:val="0"/>
    <w:pPr>
      <w:adjustRightInd w:val="0"/>
      <w:snapToGrid w:val="0"/>
      <w:spacing w:line="440" w:lineRule="exact"/>
      <w:ind w:firstLine="567"/>
    </w:pPr>
    <w:rPr>
      <w:sz w:val="28"/>
    </w:rPr>
  </w:style>
  <w:style w:type="paragraph" w:customStyle="1" w:styleId="227">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228">
    <w:name w:val="首行缩进"/>
    <w:basedOn w:val="1"/>
    <w:qFormat/>
    <w:uiPriority w:val="0"/>
    <w:pPr>
      <w:numPr>
        <w:ilvl w:val="0"/>
        <w:numId w:val="11"/>
      </w:numPr>
      <w:spacing w:line="360" w:lineRule="auto"/>
    </w:pPr>
    <w:rPr>
      <w:rFonts w:eastAsia="仿宋_GB2312"/>
    </w:rPr>
  </w:style>
  <w:style w:type="paragraph" w:customStyle="1" w:styleId="229">
    <w:name w:val="bt"/>
    <w:basedOn w:val="1"/>
    <w:next w:val="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3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231">
    <w:name w:val="Note"/>
    <w:basedOn w:val="1"/>
    <w:qFormat/>
    <w:uiPriority w:val="0"/>
    <w:pPr>
      <w:pBdr>
        <w:top w:val="single" w:color="auto" w:sz="12" w:space="3"/>
        <w:bottom w:val="single" w:color="auto" w:sz="12" w:space="3"/>
      </w:pBdr>
      <w:spacing w:line="360" w:lineRule="auto"/>
    </w:pPr>
    <w:rPr>
      <w:sz w:val="24"/>
    </w:rPr>
  </w:style>
  <w:style w:type="paragraph" w:customStyle="1" w:styleId="232">
    <w:name w:val="正文 + 三号"/>
    <w:basedOn w:val="1"/>
    <w:qFormat/>
    <w:uiPriority w:val="0"/>
    <w:rPr>
      <w:sz w:val="21"/>
    </w:rPr>
  </w:style>
  <w:style w:type="paragraph" w:customStyle="1" w:styleId="233">
    <w:name w:val="二级条标题"/>
    <w:basedOn w:val="198"/>
    <w:next w:val="199"/>
    <w:qFormat/>
    <w:uiPriority w:val="0"/>
    <w:pPr>
      <w:ind w:left="840"/>
      <w:outlineLvl w:val="3"/>
    </w:pPr>
  </w:style>
  <w:style w:type="paragraph" w:customStyle="1" w:styleId="234">
    <w:name w:val="关键词"/>
    <w:basedOn w:val="1"/>
    <w:next w:val="1"/>
    <w:qFormat/>
    <w:uiPriority w:val="0"/>
    <w:pPr>
      <w:spacing w:line="360" w:lineRule="auto"/>
    </w:pPr>
    <w:rPr>
      <w:rFonts w:eastAsia="黑体"/>
      <w:sz w:val="20"/>
    </w:rPr>
  </w:style>
  <w:style w:type="paragraph" w:customStyle="1" w:styleId="235">
    <w:name w:val="Char Char Char Char Char Char Char Char Char Char Char Char Char Char Char Char"/>
    <w:basedOn w:val="1"/>
    <w:qFormat/>
    <w:uiPriority w:val="0"/>
    <w:pPr>
      <w:tabs>
        <w:tab w:val="left" w:pos="360"/>
      </w:tabs>
    </w:pPr>
    <w:rPr>
      <w:sz w:val="24"/>
    </w:rPr>
  </w:style>
  <w:style w:type="paragraph" w:customStyle="1" w:styleId="236">
    <w:name w:val="样式 正文缩进正文（首行缩进两字）表正文正文非缩进特点标题4段1 + 首行缩进:  2 字符"/>
    <w:basedOn w:val="19"/>
    <w:qFormat/>
    <w:uiPriority w:val="0"/>
    <w:pPr>
      <w:ind w:firstLine="480" w:firstLineChars="200"/>
    </w:pPr>
  </w:style>
  <w:style w:type="paragraph" w:customStyle="1" w:styleId="237">
    <w:name w:val="Char Char Char Char Char"/>
    <w:basedOn w:val="1"/>
    <w:qFormat/>
    <w:uiPriority w:val="0"/>
    <w:pPr>
      <w:numPr>
        <w:ilvl w:val="0"/>
        <w:numId w:val="12"/>
      </w:numPr>
      <w:tabs>
        <w:tab w:val="left" w:pos="425"/>
        <w:tab w:val="clear" w:pos="1620"/>
      </w:tabs>
    </w:pPr>
    <w:rPr>
      <w:rFonts w:ascii="Tahoma" w:hAnsi="Tahoma"/>
      <w:sz w:val="24"/>
    </w:rPr>
  </w:style>
  <w:style w:type="paragraph" w:customStyle="1" w:styleId="238">
    <w:name w:val="正文文本缩进 21"/>
    <w:basedOn w:val="1"/>
    <w:qFormat/>
    <w:uiPriority w:val="0"/>
    <w:pPr>
      <w:adjustRightInd w:val="0"/>
      <w:ind w:firstLine="420"/>
      <w:textAlignment w:val="baseline"/>
    </w:pPr>
    <w:rPr>
      <w:sz w:val="24"/>
    </w:rPr>
  </w:style>
  <w:style w:type="paragraph" w:customStyle="1" w:styleId="239">
    <w:name w:val="1.正文"/>
    <w:basedOn w:val="1"/>
    <w:qFormat/>
    <w:uiPriority w:val="0"/>
    <w:pPr>
      <w:spacing w:line="360" w:lineRule="auto"/>
      <w:ind w:left="540" w:leftChars="225" w:firstLine="540" w:firstLineChars="225"/>
    </w:pPr>
    <w:rPr>
      <w:sz w:val="24"/>
    </w:rPr>
  </w:style>
  <w:style w:type="paragraph" w:customStyle="1" w:styleId="240">
    <w:name w:val="Char1 Char Char Char1"/>
    <w:basedOn w:val="1"/>
    <w:qFormat/>
    <w:uiPriority w:val="0"/>
    <w:rPr>
      <w:rFonts w:ascii="Tahoma" w:hAnsi="Tahoma"/>
      <w:sz w:val="30"/>
    </w:rPr>
  </w:style>
  <w:style w:type="paragraph" w:customStyle="1" w:styleId="241">
    <w:name w:val="00"/>
    <w:basedOn w:val="1"/>
    <w:qFormat/>
    <w:uiPriority w:val="0"/>
    <w:pPr>
      <w:autoSpaceDE w:val="0"/>
      <w:autoSpaceDN w:val="0"/>
      <w:adjustRightInd w:val="0"/>
      <w:jc w:val="left"/>
    </w:pPr>
    <w:rPr>
      <w:rFonts w:ascii="黑体" w:eastAsia="黑体"/>
      <w:b/>
      <w:kern w:val="0"/>
      <w:sz w:val="20"/>
    </w:rPr>
  </w:style>
  <w:style w:type="paragraph" w:customStyle="1" w:styleId="242">
    <w:name w:val="样式 标题 1 + 居中 段前: 6 磅 段后: 6 磅 行距: 1.5 倍行距"/>
    <w:basedOn w:val="4"/>
    <w:qFormat/>
    <w:uiPriority w:val="0"/>
    <w:pPr>
      <w:keepLines/>
      <w:adjustRightInd w:val="0"/>
      <w:spacing w:line="360" w:lineRule="auto"/>
      <w:jc w:val="center"/>
    </w:pPr>
    <w:rPr>
      <w:rFonts w:ascii="Times New Roman"/>
      <w:b/>
      <w:kern w:val="44"/>
      <w:sz w:val="32"/>
    </w:rPr>
  </w:style>
  <w:style w:type="paragraph" w:customStyle="1" w:styleId="243">
    <w:name w:val="Char Char1 Char"/>
    <w:basedOn w:val="1"/>
    <w:qFormat/>
    <w:uiPriority w:val="0"/>
    <w:rPr>
      <w:rFonts w:ascii="Tahoma" w:hAnsi="Tahoma"/>
      <w:sz w:val="24"/>
      <w:szCs w:val="24"/>
    </w:rPr>
  </w:style>
  <w:style w:type="paragraph" w:customStyle="1" w:styleId="24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5">
    <w:name w:val="Title - Date"/>
    <w:basedOn w:val="58"/>
    <w:next w:val="1"/>
    <w:qFormat/>
    <w:uiPriority w:val="0"/>
    <w:rPr>
      <w:sz w:val="28"/>
    </w:rPr>
  </w:style>
  <w:style w:type="paragraph" w:customStyle="1" w:styleId="246">
    <w:name w:val="标题2"/>
    <w:basedOn w:val="5"/>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307;&#26631;&#25991;&#20214;6-9&#27004;&#38646;&#26143;&#25913;&#3689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招标文件6-9楼零星改造</Template>
  <Manager>罗成</Manager>
  <Pages>39</Pages>
  <Words>2707</Words>
  <Characters>15432</Characters>
  <Lines>128</Lines>
  <Paragraphs>36</Paragraphs>
  <ScaleCrop>false</ScaleCrop>
  <LinksUpToDate>false</LinksUpToDate>
  <CharactersWithSpaces>18103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2021-05-13T14:06:00Z</dcterms:created>
  <dc:creator>Administrator</dc:creator>
  <cp:lastModifiedBy>ZBB</cp:lastModifiedBy>
  <cp:lastPrinted>2021-06-15T02:26:00Z</cp:lastPrinted>
  <dcterms:modified xsi:type="dcterms:W3CDTF">2021-10-17T11:21:46Z</dcterms:modified>
  <dc:title>竞争性谈判文件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BE9E6F67D470429B90091B60B187E07E</vt:lpwstr>
  </property>
</Properties>
</file>