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医院常用标识设计制作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15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重庆市急救医疗中心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本着公平、公正、公开、诚信的原则，拟对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以下常用标识设计制作的常规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制作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能力的供应商参与竞争。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内容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鉴于目前数量无法确定，且材质规格等名目繁多，列举部分常用标识标牌，采用同材质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同尺寸单价竞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价，具体要求如下表：</w:t>
      </w:r>
      <w:bookmarkStart w:id="0" w:name="_GoBack"/>
      <w:bookmarkEnd w:id="0"/>
    </w:p>
    <w:tbl>
      <w:tblPr>
        <w:tblStyle w:val="7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479"/>
        <w:gridCol w:w="1672"/>
        <w:gridCol w:w="2648"/>
        <w:gridCol w:w="682"/>
        <w:gridCol w:w="706"/>
        <w:gridCol w:w="8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序号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名称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规格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工艺或材质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单价（元）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科室牌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320mmX160mm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5mm亚克力喷漆丝印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套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2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床头牌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280mmX260MM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6mm透明亚克力激光雕刻+11个亚克力盒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套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3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制度牌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500mmX700mm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电镀银边框+5mmpvc背板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块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2年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4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视频剪辑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/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剪辑、配乐、片头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项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-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5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亚克力盒子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A4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3mm透明亚克力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个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6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宣传栏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2400mmX1200mm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金属细银沙烤漆主体+6mmpvc底板+3mm亚克力面板+高精度防水画面覆膜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套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2年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7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会标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1920X640 300DPI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主题设计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项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-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8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三折页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210mmX297mm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200G铜版纸压痕折页按需设计定制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张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9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工作牌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97mmX150mm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20mm飞机扣丝带+pvc卡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个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10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标签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80mmX40mm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耐酸腐亮膜强力粘胶贴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张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11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海报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600mmX900mm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高精度户外海报覆膜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张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12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地标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1米X0.12米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3M可移车贴背胶+防滑耐磨涂层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张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半年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13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21"/>
              </w:rPr>
              <w:t>P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PT设计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1920mmX1080mm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艺术字+主题元素+图片处理+动画效果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页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-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14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X展架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800mmX1800mm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高精度防水海报覆膜设计制作+韩式铁艺展架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个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-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15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X展架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600mmX1600mm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高精度防水海报覆膜设计制作+韩式铁艺展架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个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-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3M标贴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80mmX40mm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3M工程级材质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厘米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2年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17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其它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未列入项目根据我院要求再报价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-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-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-</w:t>
            </w:r>
          </w:p>
        </w:tc>
      </w:tr>
    </w:tbl>
    <w:p>
      <w:pPr>
        <w:widowControl/>
        <w:rPr>
          <w:rFonts w:hint="eastAsia" w:ascii="方正仿宋_GBK" w:hAnsi="方正仿宋_GBK" w:eastAsia="方正仿宋_GBK" w:cs="方正仿宋_GBK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</w:rPr>
        <w:t>备注：单价已包括完成项目所需费用（含设计排版、制作、人工、安装、税费、质保期维保费用等一切费用）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（一）设计能力要求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2.1.1方案设计能达三甲医院要求水平，符合本院文化；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2.1.2符合本院整体的功能要求；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2.1.3符合本院设计要求；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2.1.4材质要求美观、大方、耐用；制作工艺精美、价格实惠、无安全隐患。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（二）资质要求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其它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1有独立设计制作安装标识标牌的资质。具有提供广告创意设计服务能力，至少5年以上专业广告设计服务经验的专业公司，具备视频音频编辑、户外广告发布、中大型活动策划、广告，设计制作能力，具有3家3年以上三甲医院或市级、区级事业单位制作经验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2在重庆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主城区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有独立的公司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提供房产证明或租赁合同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3须为重庆市政府采购云平台入驻企业；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4本项目不接受任何形式的联合体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参与竞选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三、商务要求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（一）质保期：不少于上表中规定的期限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，规定保质期内损坏必须及时免费更换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售后服务要求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供应商应具有完善的设计制作和后期维护服务保障体系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对于出现不符合质量标准的产品包退包换；须于接到采购人售后服务通知的1个工作日内，派专业人员上门处理相关服务需求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3.2.2成交供应商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须及时按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人的要求提供设计服务，并保证服务安装到位，如有违约，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有权终止协议并停止付款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（一）内容要求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缴纳税收和社会保障金的证明材料复印件；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Cs w:val="21"/>
        </w:rPr>
        <w:t>.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1.6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条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其它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资格条件所要求的资质文件（复印件加盖鲜章）；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1.7提供类似项目（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宣传标识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制作案例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并提供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用户名单及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联系人、联系电话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格式要求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报价一份（报价需密封）。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及（纸质、电子版）报价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时间及地点：另行通知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3A11DFB"/>
    <w:rsid w:val="0A1D68B3"/>
    <w:rsid w:val="0B0B2B8C"/>
    <w:rsid w:val="101E7372"/>
    <w:rsid w:val="120D6F1B"/>
    <w:rsid w:val="13E54695"/>
    <w:rsid w:val="1D29167B"/>
    <w:rsid w:val="1E08551C"/>
    <w:rsid w:val="1F591F5B"/>
    <w:rsid w:val="294E3997"/>
    <w:rsid w:val="2BAD3246"/>
    <w:rsid w:val="417B242E"/>
    <w:rsid w:val="486E3659"/>
    <w:rsid w:val="4B6E42A4"/>
    <w:rsid w:val="5C6414EF"/>
    <w:rsid w:val="62237FA1"/>
    <w:rsid w:val="65DB7408"/>
    <w:rsid w:val="6ABE6BC3"/>
    <w:rsid w:val="71022B9E"/>
    <w:rsid w:val="714D0081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2022-02-15T07:10:30Z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