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检验科常用检测试剂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12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以下检验科常用检测试剂的常规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，现诚邀具有合格资质和良好配送能力、且试剂经过使用者的前期性能评价的供应商参与竞争。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6"/>
        <w:tblW w:w="8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2133"/>
        <w:gridCol w:w="1455"/>
        <w:gridCol w:w="3654"/>
        <w:gridCol w:w="9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项目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方法学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97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α1-酸性糖蛋白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免疫比浊法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α1-酸性糖蛋白的测定主要作为急性时相反应的指标。检测结果增高多见于风湿病、恶性肿瘤及</w:t>
            </w:r>
            <w:r>
              <w:fldChar w:fldCharType="begin"/>
            </w:r>
            <w:r>
              <w:instrText xml:space="preserve"> HYPERLINK "https://www.med66.com/jibing/xinjigengsi/" \t "_blank" \o "心肌梗死"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心肌梗死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患者。检测结果降低多见于营养不良、严重肝损害等。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α1抗胰蛋白酶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免疫比浊法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浓度升高：见于急性炎症、外科手术（急性时相反应蛋白）妊娠、长期服用可的松、雌激素等药物也可升高。降低：可见于胎儿呼吸窘迫综合征。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缺血修饰白蛋白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游离钴比色法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作为检测早期心肌缺血的指标，灵敏的反映心肌缺血状况。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心型脂肪酸结合蛋白测定试剂盒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磁微粒化学发光法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急性心肌梗死的早期诊断的标志物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21"/>
        </w:rPr>
        <w:t>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1A2A10"/>
    <w:rsid w:val="0A1D68B3"/>
    <w:rsid w:val="0B0B2B8C"/>
    <w:rsid w:val="101E7372"/>
    <w:rsid w:val="120D6F1B"/>
    <w:rsid w:val="13E54695"/>
    <w:rsid w:val="1D29167B"/>
    <w:rsid w:val="1F591F5B"/>
    <w:rsid w:val="294E3997"/>
    <w:rsid w:val="2BAD3246"/>
    <w:rsid w:val="486E3659"/>
    <w:rsid w:val="4B6E42A4"/>
    <w:rsid w:val="62237FA1"/>
    <w:rsid w:val="65DB7408"/>
    <w:rsid w:val="6ABE6BC3"/>
    <w:rsid w:val="6BE851FD"/>
    <w:rsid w:val="71022B9E"/>
    <w:rsid w:val="714D0081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TotalTime>0</TotalTime>
  <ScaleCrop>false</ScaleCrop>
  <LinksUpToDate>false</LinksUpToDate>
  <CharactersWithSpaces>2007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Administrator</cp:lastModifiedBy>
  <cp:lastPrinted>2018-09-11T02:51:00Z</cp:lastPrinted>
  <dcterms:modified xsi:type="dcterms:W3CDTF">2022-03-13T09:45:40Z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FB7E655845F04559850041DC3883D62A</vt:lpwstr>
  </property>
</Properties>
</file>